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olor w:val="000080"/>
          <w:sz w:val="48"/>
          <w:u w:val="single"/>
          <w:lang w:eastAsia="fr-FR"/>
        </w:rPr>
        <w:t>LE CALENDRIER VACCINAL UNIFORME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olor w:val="8E8EC7"/>
          <w:sz w:val="24"/>
          <w:szCs w:val="24"/>
          <w:u w:val="single"/>
          <w:lang w:eastAsia="fr-FR"/>
        </w:rPr>
        <w:t>CALENDRIER OFFICIEL DU MINISTERE DE LA SANTE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Ci-après le nouveau calendrier vaccinal tel que préconisé par le ministère de la santé publique, ce calendrier remplace dorénavant </w:t>
      </w:r>
      <w:hyperlink r:id="rId4" w:history="1">
        <w:r w:rsidRPr="00EE4FA5">
          <w:rPr>
            <w:rFonts w:ascii="Arial" w:eastAsia="Times New Roman" w:hAnsi="Arial" w:cs="Arial"/>
            <w:color w:val="0000FF"/>
            <w:sz w:val="20"/>
            <w:u w:val="single"/>
            <w:lang w:eastAsia="fr-FR"/>
          </w:rPr>
          <w:t>l’ancien calendrier</w:t>
        </w:r>
      </w:hyperlink>
      <w:r w:rsidRPr="00EE4FA5">
        <w:rPr>
          <w:rFonts w:ascii="Arial" w:eastAsia="Times New Roman" w:hAnsi="Arial" w:cs="Arial"/>
          <w:color w:val="000000"/>
          <w:sz w:val="20"/>
          <w:szCs w:val="20"/>
          <w:lang w:eastAsia="fr-FR"/>
        </w:rPr>
        <w:t>.</w:t>
      </w:r>
      <w:r w:rsidRPr="00EE4FA5">
        <w:rPr>
          <w:rFonts w:ascii="Verdana" w:eastAsia="Times New Roman" w:hAnsi="Verdana" w:cs="Arial"/>
          <w:color w:val="000000"/>
          <w:sz w:val="20"/>
          <w:szCs w:val="20"/>
          <w:lang w:eastAsia="fr-FR"/>
        </w:rPr>
        <w:t xml:space="preserve"> </w:t>
      </w:r>
      <w:r w:rsidRPr="00EE4FA5">
        <w:rPr>
          <w:rFonts w:ascii="Arial" w:eastAsia="Times New Roman" w:hAnsi="Arial" w:cs="Arial"/>
          <w:color w:val="000000"/>
          <w:sz w:val="16"/>
          <w:szCs w:val="16"/>
          <w:u w:val="single"/>
          <w:lang w:eastAsia="fr-FR"/>
        </w:rPr>
        <w:t>Source : Documentation du ministère de la santé publique (Maroc)</w:t>
      </w:r>
      <w:r w:rsidRPr="00EE4FA5">
        <w:rPr>
          <w:rFonts w:ascii="Arial" w:eastAsia="Times New Roman" w:hAnsi="Arial" w:cs="Arial"/>
          <w:color w:val="000000"/>
          <w:sz w:val="20"/>
          <w:szCs w:val="20"/>
          <w:lang w:eastAsia="fr-FR"/>
        </w:rPr>
        <w:t xml:space="preserv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1669A"/>
          <w:sz w:val="24"/>
          <w:szCs w:val="24"/>
          <w:u w:val="single"/>
          <w:lang w:eastAsia="fr-FR"/>
        </w:rPr>
        <w:t>OBJECTIFS GENERAUX DU CALENDRIER VACCINAL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Contribuer à la réduction de la mortalité et de la morbidité néonatale et infanto juvénile par la vaccination des enfants et des femmes en âge de reproduction.</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Contribuer à l'atteinte des Objectifs du Ministère de la Santé pour la période 2008-2012 ainsi que ceux du Millénaire pour le Développement (ODM-2015).</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Contribuer à l'atteinte des objectifs internationaux d'éradication et d'élimination de certaines maladies cibles (polio, rougeole/rubéole, Tétanos NN,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1669A"/>
          <w:sz w:val="24"/>
          <w:szCs w:val="24"/>
          <w:u w:val="single"/>
          <w:lang w:eastAsia="fr-FR"/>
        </w:rPr>
        <w:t>OBJECTIFS SPECIFIQUES DU NOUVEAU CALENDRIER VACCINAL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Atteindre et maintenir une couverture vaccinale supérieure ou égale à 95 % par milieu (urbain et rural) et par niveau (national, régional, circonscription sanitaire et secteur).</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Obtenir, avec les autres pays de la région EMRO de l'OMS, la certification de </w:t>
      </w:r>
      <w:r w:rsidRPr="00EE4FA5">
        <w:rPr>
          <w:rFonts w:ascii="Arial" w:eastAsia="Times New Roman" w:hAnsi="Arial" w:cs="Arial"/>
          <w:b/>
          <w:bCs/>
          <w:color w:val="000000"/>
          <w:sz w:val="20"/>
          <w:lang w:eastAsia="fr-FR"/>
        </w:rPr>
        <w:t>l'éradication de la poliomyélite</w:t>
      </w:r>
      <w:r w:rsidRPr="00EE4FA5">
        <w:rPr>
          <w:rFonts w:ascii="Arial" w:eastAsia="Times New Roman" w:hAnsi="Arial" w:cs="Arial"/>
          <w:color w:val="000000"/>
          <w:sz w:val="20"/>
          <w:szCs w:val="20"/>
          <w:lang w:eastAsia="fr-FR"/>
        </w:rPr>
        <w:t xml:space="preserve"> vers l'an 2013,</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Maintenir </w:t>
      </w:r>
      <w:r w:rsidRPr="00EE4FA5">
        <w:rPr>
          <w:rFonts w:ascii="Arial" w:eastAsia="Times New Roman" w:hAnsi="Arial" w:cs="Arial"/>
          <w:b/>
          <w:bCs/>
          <w:color w:val="000000"/>
          <w:sz w:val="20"/>
          <w:lang w:eastAsia="fr-FR"/>
        </w:rPr>
        <w:t>l'élimination du tétanos néonatal</w:t>
      </w:r>
      <w:r w:rsidRPr="00EE4FA5">
        <w:rPr>
          <w:rFonts w:ascii="Arial" w:eastAsia="Times New Roman" w:hAnsi="Arial" w:cs="Arial"/>
          <w:color w:val="000000"/>
          <w:sz w:val="20"/>
          <w:szCs w:val="20"/>
          <w:lang w:eastAsia="fr-FR"/>
        </w:rPr>
        <w:t>,</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Eliminer la rougeole, la rubéole et le Syndrome de Rubéole Congénitale (SRC) vers l'an 2015,</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Introduire les autres nouveaux vaccins dans le calendrier national de vaccination,</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Introduire les autres rappels, dans le calendrier national de vaccination,</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Contribuer à l'amélioration de la sécurité des injections/patients.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63"/>
        <w:gridCol w:w="2520"/>
        <w:gridCol w:w="2727"/>
        <w:gridCol w:w="27"/>
      </w:tblGrid>
      <w:tr w:rsidR="00EE4FA5" w:rsidRPr="00EE4FA5" w:rsidTr="00EE4FA5">
        <w:tc>
          <w:tcPr>
            <w:tcW w:w="7235" w:type="dxa"/>
            <w:gridSpan w:val="4"/>
            <w:tcBorders>
              <w:top w:val="single" w:sz="18" w:space="0" w:color="FFFFFF"/>
              <w:left w:val="single" w:sz="18" w:space="0" w:color="FFFFFF"/>
              <w:bottom w:val="single" w:sz="18" w:space="0" w:color="FFFFFF"/>
              <w:right w:val="single" w:sz="18" w:space="0" w:color="FFFFFF"/>
            </w:tcBorders>
            <w:shd w:val="clear" w:color="auto" w:fill="0018CC"/>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color w:val="FFFFFF"/>
                <w:sz w:val="24"/>
                <w:szCs w:val="24"/>
                <w:lang w:eastAsia="fr-FR"/>
              </w:rPr>
              <w:t>LE CALENDRIER VACCINAL UNIFORME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color w:val="FFFFFF"/>
                <w:sz w:val="24"/>
                <w:szCs w:val="24"/>
                <w:lang w:eastAsia="fr-FR"/>
              </w:rPr>
              <w:t>DE LA SANTE PUBLIQUE</w:t>
            </w:r>
            <w:r w:rsidRPr="00EE4FA5">
              <w:rPr>
                <w:rFonts w:ascii="Verdana" w:eastAsia="Times New Roman" w:hAnsi="Verdana" w:cs="Arial"/>
                <w:color w:val="000000"/>
                <w:sz w:val="20"/>
                <w:szCs w:val="20"/>
                <w:lang w:eastAsia="fr-FR"/>
              </w:rPr>
              <w:t xml:space="preserve"> </w:t>
            </w:r>
          </w:p>
        </w:tc>
      </w:tr>
      <w:tr w:rsidR="00EE4FA5" w:rsidRPr="00EE4FA5" w:rsidTr="00EE4FA5">
        <w:trPr>
          <w:gridAfter w:val="1"/>
          <w:wAfter w:w="27" w:type="dxa"/>
        </w:trPr>
        <w:tc>
          <w:tcPr>
            <w:tcW w:w="1963" w:type="dxa"/>
            <w:tcBorders>
              <w:top w:val="single" w:sz="18" w:space="0" w:color="FFFFFF"/>
              <w:left w:val="single" w:sz="18" w:space="0" w:color="FFFFFF"/>
              <w:bottom w:val="single" w:sz="18" w:space="0" w:color="FFFFFF"/>
              <w:right w:val="single" w:sz="18" w:space="0" w:color="FFFFFF"/>
            </w:tcBorders>
            <w:shd w:val="clear" w:color="auto" w:fill="0547CB"/>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Age</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0547CB"/>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Antigènes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(vaccins)</w:t>
            </w:r>
            <w:r w:rsidRPr="00EE4FA5">
              <w:rPr>
                <w:rFonts w:ascii="Verdana" w:eastAsia="Times New Roman" w:hAnsi="Verdana" w:cs="Arial"/>
                <w:color w:val="000000"/>
                <w:sz w:val="20"/>
                <w:szCs w:val="20"/>
                <w:lang w:eastAsia="fr-FR"/>
              </w:rPr>
              <w:t xml:space="preserve"> </w:t>
            </w:r>
          </w:p>
        </w:tc>
        <w:tc>
          <w:tcPr>
            <w:tcW w:w="2727" w:type="dxa"/>
            <w:tcBorders>
              <w:top w:val="single" w:sz="18" w:space="0" w:color="FFFFFF"/>
              <w:left w:val="single" w:sz="18" w:space="0" w:color="FFFFFF"/>
              <w:bottom w:val="single" w:sz="18" w:space="0" w:color="FFFFFF"/>
              <w:right w:val="single" w:sz="18" w:space="0" w:color="FFFFFF"/>
            </w:tcBorders>
            <w:shd w:val="clear" w:color="auto" w:fill="0547CB"/>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Observations</w:t>
            </w:r>
            <w:r w:rsidRPr="00EE4FA5">
              <w:rPr>
                <w:rFonts w:ascii="Verdana" w:eastAsia="Times New Roman" w:hAnsi="Verdana" w:cs="Arial"/>
                <w:color w:val="000000"/>
                <w:sz w:val="20"/>
                <w:szCs w:val="20"/>
                <w:lang w:eastAsia="fr-FR"/>
              </w:rPr>
              <w:t xml:space="preserve"> </w:t>
            </w:r>
          </w:p>
        </w:tc>
      </w:tr>
      <w:tr w:rsidR="00EE4FA5" w:rsidRPr="00EE4FA5" w:rsidTr="00EE4FA5">
        <w:tc>
          <w:tcPr>
            <w:tcW w:w="7237" w:type="dxa"/>
            <w:gridSpan w:val="4"/>
            <w:tcBorders>
              <w:top w:val="single" w:sz="18" w:space="0" w:color="FFFFFF"/>
              <w:left w:val="single" w:sz="18" w:space="0" w:color="FFFFFF"/>
              <w:bottom w:val="single" w:sz="18" w:space="0" w:color="FFFFFF"/>
              <w:right w:val="single" w:sz="18" w:space="0" w:color="FFFFFF"/>
            </w:tcBorders>
            <w:shd w:val="clear" w:color="auto" w:fill="E0E0E0"/>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color w:val="000000"/>
                <w:sz w:val="20"/>
                <w:lang w:eastAsia="fr-FR"/>
              </w:rPr>
              <w:t>LA PREMIERE</w:t>
            </w:r>
            <w:r w:rsidRPr="00EE4FA5">
              <w:rPr>
                <w:rFonts w:ascii="Verdana" w:eastAsia="Times New Roman" w:hAnsi="Verdana" w:cs="Arial"/>
                <w:color w:val="000000"/>
                <w:sz w:val="20"/>
                <w:szCs w:val="20"/>
                <w:lang w:eastAsia="fr-FR"/>
              </w:rPr>
              <w:t xml:space="preserve"> </w:t>
            </w:r>
            <w:r w:rsidRPr="00EE4FA5">
              <w:rPr>
                <w:rFonts w:ascii="Arial" w:eastAsia="Times New Roman" w:hAnsi="Arial" w:cs="Arial"/>
                <w:b/>
                <w:color w:val="000000"/>
                <w:sz w:val="20"/>
                <w:lang w:eastAsia="fr-FR"/>
              </w:rPr>
              <w:t>ANNEE</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Dans les 24 heurs après la naissance</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HB zéro</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Dose à la naissance</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Naissance (un mois après la naissance)</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BCG</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VPO zéro</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2 mois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DTC</w:t>
            </w:r>
            <w:r w:rsidRPr="00EE4FA5">
              <w:rPr>
                <w:rFonts w:ascii="Arial" w:eastAsia="Times New Roman" w:hAnsi="Arial" w:cs="Arial"/>
                <w:b/>
                <w:bCs/>
                <w:color w:val="FF0000"/>
                <w:sz w:val="20"/>
                <w:vertAlign w:val="subscript"/>
                <w:lang w:eastAsia="fr-FR"/>
              </w:rPr>
              <w:t>1</w:t>
            </w:r>
            <w:r w:rsidRPr="00EE4FA5">
              <w:rPr>
                <w:rFonts w:ascii="Arial" w:eastAsia="Times New Roman" w:hAnsi="Arial" w:cs="Arial"/>
                <w:b/>
                <w:bCs/>
                <w:color w:val="FF0000"/>
                <w:sz w:val="20"/>
                <w:lang w:eastAsia="fr-FR"/>
              </w:rPr>
              <w:t xml:space="preserve"> – Hib</w:t>
            </w:r>
            <w:r w:rsidRPr="00EE4FA5">
              <w:rPr>
                <w:rFonts w:ascii="Arial" w:eastAsia="Times New Roman" w:hAnsi="Arial" w:cs="Arial"/>
                <w:b/>
                <w:bCs/>
                <w:color w:val="FF0000"/>
                <w:sz w:val="20"/>
                <w:vertAlign w:val="subscript"/>
                <w:lang w:eastAsia="fr-FR"/>
              </w:rPr>
              <w:t>1</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HB</w:t>
            </w:r>
            <w:r w:rsidRPr="00EE4FA5">
              <w:rPr>
                <w:rFonts w:ascii="Arial" w:eastAsia="Times New Roman" w:hAnsi="Arial" w:cs="Arial"/>
                <w:b/>
                <w:bCs/>
                <w:color w:val="FF0000"/>
                <w:sz w:val="20"/>
                <w:vertAlign w:val="subscript"/>
                <w:lang w:eastAsia="fr-FR"/>
              </w:rPr>
              <w:t>1</w:t>
            </w:r>
            <w:r w:rsidRPr="00EE4FA5">
              <w:rPr>
                <w:rFonts w:ascii="Arial" w:eastAsia="Times New Roman" w:hAnsi="Arial" w:cs="Arial"/>
                <w:b/>
                <w:bCs/>
                <w:color w:val="FF0000"/>
                <w:sz w:val="20"/>
                <w:lang w:eastAsia="fr-FR"/>
              </w:rPr>
              <w:t xml:space="preserve"> / VPO</w:t>
            </w:r>
            <w:r w:rsidRPr="00EE4FA5">
              <w:rPr>
                <w:rFonts w:ascii="Arial" w:eastAsia="Times New Roman" w:hAnsi="Arial" w:cs="Arial"/>
                <w:b/>
                <w:bCs/>
                <w:color w:val="FF0000"/>
                <w:sz w:val="20"/>
                <w:vertAlign w:val="subscript"/>
                <w:lang w:eastAsia="fr-FR"/>
              </w:rPr>
              <w:t>1</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xml:space="preserve">- Vaccin anti Rotavirus </w:t>
            </w:r>
            <w:r w:rsidRPr="00EE4FA5">
              <w:rPr>
                <w:rFonts w:ascii="Arial" w:eastAsia="Times New Roman" w:hAnsi="Arial" w:cs="Arial"/>
                <w:b/>
                <w:bCs/>
                <w:color w:val="FF0000"/>
                <w:sz w:val="20"/>
                <w:vertAlign w:val="subscript"/>
                <w:lang w:eastAsia="fr-FR"/>
              </w:rPr>
              <w:t>1</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xml:space="preserve">- Vaccin anti Pneumo </w:t>
            </w:r>
            <w:r w:rsidRPr="00EE4FA5">
              <w:rPr>
                <w:rFonts w:ascii="Arial" w:eastAsia="Times New Roman" w:hAnsi="Arial" w:cs="Arial"/>
                <w:b/>
                <w:bCs/>
                <w:color w:val="FF0000"/>
                <w:sz w:val="20"/>
                <w:vertAlign w:val="subscript"/>
                <w:lang w:eastAsia="fr-FR"/>
              </w:rPr>
              <w:t>1</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Vaccins combinés</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3 mois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DTC</w:t>
            </w:r>
            <w:r w:rsidRPr="00EE4FA5">
              <w:rPr>
                <w:rFonts w:ascii="Arial" w:eastAsia="Times New Roman" w:hAnsi="Arial" w:cs="Arial"/>
                <w:b/>
                <w:bCs/>
                <w:color w:val="FF0000"/>
                <w:sz w:val="20"/>
                <w:vertAlign w:val="subscript"/>
                <w:lang w:eastAsia="fr-FR"/>
              </w:rPr>
              <w:t>2</w:t>
            </w:r>
            <w:r w:rsidRPr="00EE4FA5">
              <w:rPr>
                <w:rFonts w:ascii="Arial" w:eastAsia="Times New Roman" w:hAnsi="Arial" w:cs="Arial"/>
                <w:b/>
                <w:bCs/>
                <w:color w:val="FF0000"/>
                <w:sz w:val="20"/>
                <w:lang w:eastAsia="fr-FR"/>
              </w:rPr>
              <w:t xml:space="preserve"> – Hib</w:t>
            </w:r>
            <w:r w:rsidRPr="00EE4FA5">
              <w:rPr>
                <w:rFonts w:ascii="Arial" w:eastAsia="Times New Roman" w:hAnsi="Arial" w:cs="Arial"/>
                <w:b/>
                <w:bCs/>
                <w:color w:val="FF0000"/>
                <w:sz w:val="20"/>
                <w:vertAlign w:val="subscript"/>
                <w:lang w:eastAsia="fr-FR"/>
              </w:rPr>
              <w:t>2</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HB</w:t>
            </w:r>
            <w:r w:rsidRPr="00EE4FA5">
              <w:rPr>
                <w:rFonts w:ascii="Arial" w:eastAsia="Times New Roman" w:hAnsi="Arial" w:cs="Arial"/>
                <w:b/>
                <w:bCs/>
                <w:color w:val="FF0000"/>
                <w:sz w:val="20"/>
                <w:vertAlign w:val="subscript"/>
                <w:lang w:eastAsia="fr-FR"/>
              </w:rPr>
              <w:t>2</w:t>
            </w:r>
            <w:r w:rsidRPr="00EE4FA5">
              <w:rPr>
                <w:rFonts w:ascii="Arial" w:eastAsia="Times New Roman" w:hAnsi="Arial" w:cs="Arial"/>
                <w:b/>
                <w:bCs/>
                <w:color w:val="FF0000"/>
                <w:sz w:val="20"/>
                <w:lang w:eastAsia="fr-FR"/>
              </w:rPr>
              <w:t xml:space="preserve">  / VPO</w:t>
            </w:r>
            <w:r w:rsidRPr="00EE4FA5">
              <w:rPr>
                <w:rFonts w:ascii="Arial" w:eastAsia="Times New Roman" w:hAnsi="Arial" w:cs="Arial"/>
                <w:b/>
                <w:bCs/>
                <w:color w:val="FF0000"/>
                <w:sz w:val="20"/>
                <w:vertAlign w:val="subscript"/>
                <w:lang w:eastAsia="fr-FR"/>
              </w:rPr>
              <w:t>2</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Vaccin anti Rotavirus</w:t>
            </w:r>
            <w:r w:rsidRPr="00EE4FA5">
              <w:rPr>
                <w:rFonts w:ascii="Arial" w:eastAsia="Times New Roman" w:hAnsi="Arial" w:cs="Arial"/>
                <w:b/>
                <w:bCs/>
                <w:color w:val="FF0000"/>
                <w:sz w:val="20"/>
                <w:vertAlign w:val="subscript"/>
                <w:lang w:eastAsia="fr-FR"/>
              </w:rPr>
              <w:t>2</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4 mois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DTC</w:t>
            </w:r>
            <w:r w:rsidRPr="00EE4FA5">
              <w:rPr>
                <w:rFonts w:ascii="Arial" w:eastAsia="Times New Roman" w:hAnsi="Arial" w:cs="Arial"/>
                <w:b/>
                <w:bCs/>
                <w:color w:val="FF0000"/>
                <w:sz w:val="20"/>
                <w:vertAlign w:val="subscript"/>
                <w:lang w:eastAsia="fr-FR"/>
              </w:rPr>
              <w:t>3</w:t>
            </w:r>
            <w:r w:rsidRPr="00EE4FA5">
              <w:rPr>
                <w:rFonts w:ascii="Arial" w:eastAsia="Times New Roman" w:hAnsi="Arial" w:cs="Arial"/>
                <w:b/>
                <w:bCs/>
                <w:color w:val="FF0000"/>
                <w:sz w:val="20"/>
                <w:lang w:eastAsia="fr-FR"/>
              </w:rPr>
              <w:t xml:space="preserve"> – Hib</w:t>
            </w:r>
            <w:r w:rsidRPr="00EE4FA5">
              <w:rPr>
                <w:rFonts w:ascii="Arial" w:eastAsia="Times New Roman" w:hAnsi="Arial" w:cs="Arial"/>
                <w:b/>
                <w:bCs/>
                <w:color w:val="FF0000"/>
                <w:sz w:val="20"/>
                <w:vertAlign w:val="subscript"/>
                <w:lang w:eastAsia="fr-FR"/>
              </w:rPr>
              <w:t>3</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VPO</w:t>
            </w:r>
            <w:r w:rsidRPr="00EE4FA5">
              <w:rPr>
                <w:rFonts w:ascii="Arial" w:eastAsia="Times New Roman" w:hAnsi="Arial" w:cs="Arial"/>
                <w:b/>
                <w:bCs/>
                <w:color w:val="FF0000"/>
                <w:sz w:val="20"/>
                <w:vertAlign w:val="subscript"/>
                <w:lang w:eastAsia="fr-FR"/>
              </w:rPr>
              <w:t>3</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Vaccin anti Pneumo</w:t>
            </w:r>
            <w:r w:rsidRPr="00EE4FA5">
              <w:rPr>
                <w:rFonts w:ascii="Arial" w:eastAsia="Times New Roman" w:hAnsi="Arial" w:cs="Arial"/>
                <w:b/>
                <w:bCs/>
                <w:color w:val="FF0000"/>
                <w:sz w:val="20"/>
                <w:vertAlign w:val="subscript"/>
                <w:lang w:eastAsia="fr-FR"/>
              </w:rPr>
              <w:t>2</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12 mois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VAR</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HB</w:t>
            </w:r>
            <w:r w:rsidRPr="00EE4FA5">
              <w:rPr>
                <w:rFonts w:ascii="Arial" w:eastAsia="Times New Roman" w:hAnsi="Arial" w:cs="Arial"/>
                <w:b/>
                <w:bCs/>
                <w:color w:val="FF0000"/>
                <w:sz w:val="20"/>
                <w:vertAlign w:val="subscript"/>
                <w:lang w:eastAsia="fr-FR"/>
              </w:rPr>
              <w:t>3</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Vaccin anti Pneumo</w:t>
            </w:r>
            <w:r w:rsidRPr="00EE4FA5">
              <w:rPr>
                <w:rFonts w:ascii="Arial" w:eastAsia="Times New Roman" w:hAnsi="Arial" w:cs="Arial"/>
                <w:b/>
                <w:bCs/>
                <w:color w:val="FF0000"/>
                <w:sz w:val="20"/>
                <w:vertAlign w:val="subscript"/>
                <w:lang w:eastAsia="fr-FR"/>
              </w:rPr>
              <w:t>3</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c>
          <w:tcPr>
            <w:tcW w:w="7237" w:type="dxa"/>
            <w:gridSpan w:val="4"/>
            <w:tcBorders>
              <w:top w:val="single" w:sz="18" w:space="0" w:color="FFFFFF"/>
              <w:left w:val="single" w:sz="18" w:space="0" w:color="FFFFFF"/>
              <w:bottom w:val="single" w:sz="18" w:space="0" w:color="FFFFFF"/>
              <w:right w:val="single" w:sz="18" w:space="0" w:color="FFFFFF"/>
            </w:tcBorders>
            <w:shd w:val="clear" w:color="auto" w:fill="E0E0E0"/>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color w:val="000000"/>
                <w:sz w:val="20"/>
                <w:lang w:eastAsia="fr-FR"/>
              </w:rPr>
              <w:t>LES RAPPELS DE SUITE</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18 mois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DTC</w:t>
            </w:r>
            <w:r w:rsidRPr="00EE4FA5">
              <w:rPr>
                <w:rFonts w:ascii="Arial" w:eastAsia="Times New Roman" w:hAnsi="Arial" w:cs="Arial"/>
                <w:b/>
                <w:bCs/>
                <w:color w:val="FF0000"/>
                <w:sz w:val="20"/>
                <w:vertAlign w:val="subscript"/>
                <w:lang w:eastAsia="fr-FR"/>
              </w:rPr>
              <w:t>4</w:t>
            </w:r>
            <w:r w:rsidRPr="00EE4FA5">
              <w:rPr>
                <w:rFonts w:ascii="Arial" w:eastAsia="Times New Roman" w:hAnsi="Arial" w:cs="Arial"/>
                <w:b/>
                <w:bCs/>
                <w:color w:val="FF0000"/>
                <w:sz w:val="20"/>
                <w:lang w:eastAsia="fr-FR"/>
              </w:rPr>
              <w:t xml:space="preserve"> VPO</w:t>
            </w:r>
            <w:r w:rsidRPr="00EE4FA5">
              <w:rPr>
                <w:rFonts w:ascii="Arial" w:eastAsia="Times New Roman" w:hAnsi="Arial" w:cs="Arial"/>
                <w:b/>
                <w:bCs/>
                <w:color w:val="FF0000"/>
                <w:sz w:val="20"/>
                <w:vertAlign w:val="subscript"/>
                <w:lang w:eastAsia="fr-FR"/>
              </w:rPr>
              <w:t>4</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(premier rappel)</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5 ans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DTC</w:t>
            </w:r>
            <w:r w:rsidRPr="00EE4FA5">
              <w:rPr>
                <w:rFonts w:ascii="Arial" w:eastAsia="Times New Roman" w:hAnsi="Arial" w:cs="Arial"/>
                <w:b/>
                <w:bCs/>
                <w:color w:val="FF0000"/>
                <w:sz w:val="20"/>
                <w:vertAlign w:val="subscript"/>
                <w:lang w:eastAsia="fr-FR"/>
              </w:rPr>
              <w:t>5</w:t>
            </w:r>
            <w:r w:rsidRPr="00EE4FA5">
              <w:rPr>
                <w:rFonts w:ascii="Arial" w:eastAsia="Times New Roman" w:hAnsi="Arial" w:cs="Arial"/>
                <w:b/>
                <w:bCs/>
                <w:color w:val="FF0000"/>
                <w:sz w:val="20"/>
                <w:lang w:eastAsia="fr-FR"/>
              </w:rPr>
              <w:t xml:space="preserve"> VPO</w:t>
            </w:r>
            <w:r w:rsidRPr="00EE4FA5">
              <w:rPr>
                <w:rFonts w:ascii="Arial" w:eastAsia="Times New Roman" w:hAnsi="Arial" w:cs="Arial"/>
                <w:b/>
                <w:bCs/>
                <w:color w:val="FF0000"/>
                <w:sz w:val="20"/>
                <w:vertAlign w:val="subscript"/>
                <w:lang w:eastAsia="fr-FR"/>
              </w:rPr>
              <w:t>5</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lastRenderedPageBreak/>
              <w:t>(deuxième rappel)</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lastRenderedPageBreak/>
              <w:t> </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lastRenderedPageBreak/>
              <w:t>6 ans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Rougeole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Ou R/R ou ROR</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En attendant l’atteinte d’une CV*  supérieure ou égale à 95 % par le premier rappel</w:t>
            </w:r>
            <w:r w:rsidRPr="00EE4FA5">
              <w:rPr>
                <w:rFonts w:ascii="Verdana" w:eastAsia="Times New Roman" w:hAnsi="Verdana" w:cs="Arial"/>
                <w:color w:val="000000"/>
                <w:sz w:val="20"/>
                <w:szCs w:val="20"/>
                <w:lang w:eastAsia="fr-FR"/>
              </w:rPr>
              <w:t xml:space="preserve"> </w:t>
            </w:r>
          </w:p>
        </w:tc>
      </w:tr>
      <w:tr w:rsidR="00EE4FA5" w:rsidRPr="00EE4FA5" w:rsidTr="00EE4FA5">
        <w:tc>
          <w:tcPr>
            <w:tcW w:w="1963"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Tous les 10 ans</w:t>
            </w:r>
            <w:r w:rsidRPr="00EE4FA5">
              <w:rPr>
                <w:rFonts w:ascii="Verdana" w:eastAsia="Times New Roman" w:hAnsi="Verdana" w:cs="Arial"/>
                <w:color w:val="000000"/>
                <w:sz w:val="20"/>
                <w:szCs w:val="20"/>
                <w:lang w:eastAsia="fr-FR"/>
              </w:rPr>
              <w:t xml:space="preserve"> </w:t>
            </w:r>
          </w:p>
        </w:tc>
        <w:tc>
          <w:tcPr>
            <w:tcW w:w="2520" w:type="dxa"/>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 DT + VPO</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(DT combiné avec coqueluche acellulaire)</w:t>
            </w:r>
            <w:r w:rsidRPr="00EE4FA5">
              <w:rPr>
                <w:rFonts w:ascii="Verdana" w:eastAsia="Times New Roman" w:hAnsi="Verdana" w:cs="Arial"/>
                <w:color w:val="000000"/>
                <w:sz w:val="20"/>
                <w:szCs w:val="20"/>
                <w:lang w:eastAsia="fr-FR"/>
              </w:rPr>
              <w:t xml:space="preserve"> </w:t>
            </w:r>
          </w:p>
        </w:tc>
        <w:tc>
          <w:tcPr>
            <w:tcW w:w="2754" w:type="dxa"/>
            <w:gridSpan w:val="2"/>
            <w:tcBorders>
              <w:top w:val="single" w:sz="18" w:space="0" w:color="FFFFFF"/>
              <w:left w:val="single" w:sz="18" w:space="0" w:color="FFFFFF"/>
              <w:bottom w:val="single" w:sz="18" w:space="0" w:color="FFFFFF"/>
              <w:right w:val="single" w:sz="18" w:space="0" w:color="FFFFFF"/>
            </w:tcBorders>
            <w:shd w:val="clear" w:color="auto" w:fill="BDC8FF"/>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bl>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000000"/>
          <w:sz w:val="20"/>
          <w:lang w:eastAsia="fr-FR"/>
        </w:rPr>
        <w:t>Abréviations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000000"/>
          <w:sz w:val="20"/>
          <w:lang w:eastAsia="fr-FR"/>
        </w:rPr>
        <w:t>BCG</w:t>
      </w:r>
      <w:r w:rsidRPr="00EE4FA5">
        <w:rPr>
          <w:rFonts w:ascii="Arial" w:eastAsia="Times New Roman" w:hAnsi="Arial" w:cs="Arial"/>
          <w:color w:val="000000"/>
          <w:sz w:val="20"/>
          <w:szCs w:val="20"/>
          <w:lang w:eastAsia="fr-FR"/>
        </w:rPr>
        <w:t xml:space="preserve"> : Vaccin antituberculeux, </w:t>
      </w:r>
      <w:r w:rsidRPr="00EE4FA5">
        <w:rPr>
          <w:rFonts w:ascii="Arial" w:eastAsia="Times New Roman" w:hAnsi="Arial" w:cs="Arial"/>
          <w:b/>
          <w:bCs/>
          <w:color w:val="000000"/>
          <w:sz w:val="20"/>
          <w:lang w:eastAsia="fr-FR"/>
        </w:rPr>
        <w:t>VPO</w:t>
      </w:r>
      <w:r w:rsidRPr="00EE4FA5">
        <w:rPr>
          <w:rFonts w:ascii="Arial" w:eastAsia="Times New Roman" w:hAnsi="Arial" w:cs="Arial"/>
          <w:color w:val="000000"/>
          <w:sz w:val="20"/>
          <w:szCs w:val="20"/>
          <w:lang w:eastAsia="fr-FR"/>
        </w:rPr>
        <w:t xml:space="preserve"> : Vaccin Poliomyélitique Oral, </w:t>
      </w:r>
      <w:r w:rsidRPr="00EE4FA5">
        <w:rPr>
          <w:rFonts w:ascii="Arial" w:eastAsia="Times New Roman" w:hAnsi="Arial" w:cs="Arial"/>
          <w:b/>
          <w:bCs/>
          <w:color w:val="000000"/>
          <w:sz w:val="20"/>
          <w:lang w:eastAsia="fr-FR"/>
        </w:rPr>
        <w:t>DTC</w:t>
      </w:r>
      <w:r w:rsidRPr="00EE4FA5">
        <w:rPr>
          <w:rFonts w:ascii="Arial" w:eastAsia="Times New Roman" w:hAnsi="Arial" w:cs="Arial"/>
          <w:color w:val="000000"/>
          <w:sz w:val="20"/>
          <w:szCs w:val="20"/>
          <w:lang w:eastAsia="fr-FR"/>
        </w:rPr>
        <w:t xml:space="preserve"> : Diphtérie Tétanos Coqueluche, </w:t>
      </w:r>
      <w:r w:rsidRPr="00EE4FA5">
        <w:rPr>
          <w:rFonts w:ascii="Arial" w:eastAsia="Times New Roman" w:hAnsi="Arial" w:cs="Arial"/>
          <w:b/>
          <w:bCs/>
          <w:color w:val="000000"/>
          <w:sz w:val="20"/>
          <w:lang w:eastAsia="fr-FR"/>
        </w:rPr>
        <w:t>Hib</w:t>
      </w:r>
      <w:r w:rsidRPr="00EE4FA5">
        <w:rPr>
          <w:rFonts w:ascii="Arial" w:eastAsia="Times New Roman" w:hAnsi="Arial" w:cs="Arial"/>
          <w:color w:val="000000"/>
          <w:sz w:val="20"/>
          <w:szCs w:val="20"/>
          <w:lang w:eastAsia="fr-FR"/>
        </w:rPr>
        <w:t xml:space="preserve"> : Haemophilus influenzae b, </w:t>
      </w:r>
      <w:r w:rsidRPr="00EE4FA5">
        <w:rPr>
          <w:rFonts w:ascii="Arial" w:eastAsia="Times New Roman" w:hAnsi="Arial" w:cs="Arial"/>
          <w:b/>
          <w:bCs/>
          <w:color w:val="000000"/>
          <w:sz w:val="20"/>
          <w:lang w:eastAsia="fr-FR"/>
        </w:rPr>
        <w:t>HB</w:t>
      </w:r>
      <w:r w:rsidRPr="00EE4FA5">
        <w:rPr>
          <w:rFonts w:ascii="Arial" w:eastAsia="Times New Roman" w:hAnsi="Arial" w:cs="Arial"/>
          <w:color w:val="000000"/>
          <w:sz w:val="20"/>
          <w:szCs w:val="20"/>
          <w:lang w:eastAsia="fr-FR"/>
        </w:rPr>
        <w:t xml:space="preserve"> : Hépatite B, </w:t>
      </w:r>
      <w:r w:rsidRPr="00EE4FA5">
        <w:rPr>
          <w:rFonts w:ascii="Arial" w:eastAsia="Times New Roman" w:hAnsi="Arial" w:cs="Arial"/>
          <w:b/>
          <w:bCs/>
          <w:color w:val="000000"/>
          <w:sz w:val="20"/>
          <w:lang w:eastAsia="fr-FR"/>
        </w:rPr>
        <w:t>ROR </w:t>
      </w:r>
      <w:r w:rsidRPr="00EE4FA5">
        <w:rPr>
          <w:rFonts w:ascii="Arial" w:eastAsia="Times New Roman" w:hAnsi="Arial" w:cs="Arial"/>
          <w:color w:val="000000"/>
          <w:sz w:val="20"/>
          <w:szCs w:val="20"/>
          <w:lang w:eastAsia="fr-FR"/>
        </w:rPr>
        <w:t xml:space="preserve">: Rougeole Oreillons Rubéole, </w:t>
      </w:r>
      <w:r w:rsidRPr="00EE4FA5">
        <w:rPr>
          <w:rFonts w:ascii="Arial" w:eastAsia="Times New Roman" w:hAnsi="Arial" w:cs="Arial"/>
          <w:b/>
          <w:bCs/>
          <w:color w:val="000000"/>
          <w:sz w:val="20"/>
          <w:lang w:eastAsia="fr-FR"/>
        </w:rPr>
        <w:t>RR</w:t>
      </w:r>
      <w:r w:rsidRPr="00EE4FA5">
        <w:rPr>
          <w:rFonts w:ascii="Arial" w:eastAsia="Times New Roman" w:hAnsi="Arial" w:cs="Arial"/>
          <w:color w:val="000000"/>
          <w:sz w:val="20"/>
          <w:szCs w:val="20"/>
          <w:lang w:eastAsia="fr-FR"/>
        </w:rPr>
        <w:t xml:space="preserve"> : Rougeole Rubéole. </w:t>
      </w:r>
      <w:r w:rsidRPr="00EE4FA5">
        <w:rPr>
          <w:rFonts w:ascii="Arial" w:eastAsia="Times New Roman" w:hAnsi="Arial" w:cs="Arial"/>
          <w:b/>
          <w:bCs/>
          <w:color w:val="000000"/>
          <w:sz w:val="20"/>
          <w:lang w:eastAsia="fr-FR"/>
        </w:rPr>
        <w:t>Les indices</w:t>
      </w:r>
      <w:r w:rsidRPr="00EE4FA5">
        <w:rPr>
          <w:rFonts w:ascii="Arial" w:eastAsia="Times New Roman" w:hAnsi="Arial" w:cs="Arial"/>
          <w:color w:val="000000"/>
          <w:sz w:val="20"/>
          <w:szCs w:val="20"/>
          <w:lang w:eastAsia="fr-FR"/>
        </w:rPr>
        <w:t xml:space="preserve"> correspondent aux différents rappels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1669A"/>
          <w:sz w:val="24"/>
          <w:szCs w:val="24"/>
          <w:u w:val="single"/>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1669A"/>
          <w:sz w:val="24"/>
          <w:szCs w:val="24"/>
          <w:u w:val="single"/>
          <w:lang w:eastAsia="fr-FR"/>
        </w:rPr>
        <w:t>LES CONTRE-INDICATIONS DE LA VACCINATION</w:t>
      </w:r>
      <w:r w:rsidRPr="00EE4FA5">
        <w:rPr>
          <w:rFonts w:ascii="Verdana" w:eastAsia="Times New Roman" w:hAnsi="Verdana" w:cs="Arial"/>
          <w:b/>
          <w:bCs/>
          <w:color w:val="31669A"/>
          <w:sz w:val="24"/>
          <w:szCs w:val="24"/>
          <w:u w:val="single"/>
          <w:lang w:eastAsia="fr-FR"/>
        </w:rPr>
        <w:t xml:space="preserv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Les vraies contre-indications sont rares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Antécédents d’événement indésirable post vaccinal (MAPI) graves après administration d’une dose antérieure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Maladie neurologiques évolutive (Exp. Epilepsie non maîtrisée) : éviter le vaccin anticoquelucheux</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Hypersensibilité de type 1 aux œufs : éviter la vaccination contre la fièvre jaune et la grippe, mais on peut utiliser des vaccins produits sur fibroblaste de poulet.</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Infection à VIH symptomatique : éviter le BCG, la vaccination anti-amarile et anti-rougeole.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1669A"/>
          <w:sz w:val="24"/>
          <w:szCs w:val="24"/>
          <w:u w:val="single"/>
          <w:lang w:eastAsia="fr-FR"/>
        </w:rPr>
        <w:t>LES EFFETS SECONDAIRES DE LA VACCINATION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000000"/>
          <w:sz w:val="20"/>
          <w:u w:val="single"/>
          <w:lang w:eastAsia="fr-FR"/>
        </w:rPr>
        <w:t>Note à part :</w:t>
      </w:r>
      <w:r w:rsidRPr="00EE4FA5">
        <w:rPr>
          <w:rFonts w:ascii="Arial" w:eastAsia="Times New Roman" w:hAnsi="Arial" w:cs="Arial"/>
          <w:color w:val="000000"/>
          <w:sz w:val="20"/>
          <w:szCs w:val="20"/>
          <w:lang w:eastAsia="fr-FR"/>
        </w:rPr>
        <w:t xml:space="preserv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La documentation du ministère de la santé à laquelle nous avons eu accès, en tout 5 excellentes pages, nous a permis de dénicher deux remarquables tableaux résumant parfaitement les principaux effets secondaires et, luxe suprême, leurs incidences.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Cette façon de présenter les effets secondaires, on aurai voulu qu’elle soit généraliser à tous les médicaments. En effet, les effets secondaires n’ont réellement d’intérêt que quand ils sont corrélés à leurs incidences, autrement ils deviennent un simple listing réglementaire plus anxiogène que réellement informatif. Lire dans le cadre de cette thématique : «  </w:t>
      </w:r>
      <w:hyperlink r:id="rId5" w:history="1">
        <w:r w:rsidRPr="00EE4FA5">
          <w:rPr>
            <w:rFonts w:ascii="Arial" w:eastAsia="Times New Roman" w:hAnsi="Arial" w:cs="Arial"/>
            <w:color w:val="0000FF"/>
            <w:sz w:val="20"/>
            <w:u w:val="single"/>
            <w:lang w:eastAsia="fr-FR"/>
          </w:rPr>
          <w:t>La problématique de gestion du risque sanitaire</w:t>
        </w:r>
      </w:hyperlink>
      <w:r w:rsidRPr="00EE4FA5">
        <w:rPr>
          <w:rFonts w:ascii="Arial" w:eastAsia="Times New Roman" w:hAnsi="Arial" w:cs="Arial"/>
          <w:color w:val="000000"/>
          <w:sz w:val="20"/>
          <w:szCs w:val="20"/>
          <w:lang w:eastAsia="fr-FR"/>
        </w:rPr>
        <w:t xml:space="preserve"> » et aussi « </w:t>
      </w:r>
      <w:hyperlink r:id="rId6" w:history="1">
        <w:r w:rsidRPr="00EE4FA5">
          <w:rPr>
            <w:rFonts w:ascii="Arial" w:eastAsia="Times New Roman" w:hAnsi="Arial" w:cs="Arial"/>
            <w:color w:val="0000FF"/>
            <w:sz w:val="20"/>
            <w:u w:val="single"/>
            <w:lang w:eastAsia="fr-FR"/>
          </w:rPr>
          <w:t>L’Engerix B en question </w:t>
        </w:r>
      </w:hyperlink>
      <w:r w:rsidRPr="00EE4FA5">
        <w:rPr>
          <w:rFonts w:ascii="Arial" w:eastAsia="Times New Roman" w:hAnsi="Arial" w:cs="Arial"/>
          <w:color w:val="000000"/>
          <w:sz w:val="20"/>
          <w:szCs w:val="20"/>
          <w:lang w:eastAsia="fr-FR"/>
        </w:rPr>
        <w:t xml:space="preserv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bl>
      <w:tblPr>
        <w:tblW w:w="0" w:type="auto"/>
        <w:tblInd w:w="46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shd w:val="clear" w:color="auto" w:fill="0E05C7"/>
        <w:tblLook w:val="01E0"/>
      </w:tblPr>
      <w:tblGrid>
        <w:gridCol w:w="1394"/>
        <w:gridCol w:w="2386"/>
        <w:gridCol w:w="1440"/>
        <w:gridCol w:w="1934"/>
      </w:tblGrid>
      <w:tr w:rsidR="00EE4FA5" w:rsidRPr="00EE4FA5" w:rsidTr="00EE4FA5">
        <w:tc>
          <w:tcPr>
            <w:tcW w:w="7154" w:type="dxa"/>
            <w:gridSpan w:val="4"/>
            <w:tcBorders>
              <w:top w:val="single" w:sz="18" w:space="0" w:color="FFFFFF"/>
              <w:left w:val="single" w:sz="18" w:space="0" w:color="FFFFFF"/>
              <w:bottom w:val="single" w:sz="18" w:space="0" w:color="FFFFFF"/>
              <w:right w:val="single" w:sz="18" w:space="0" w:color="FFFFFF"/>
            </w:tcBorders>
            <w:shd w:val="clear" w:color="auto" w:fill="auto"/>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8"/>
                <w:lang w:eastAsia="fr-FR"/>
              </w:rPr>
              <w:t>       Réactions mineures courantes</w:t>
            </w:r>
            <w:r w:rsidRPr="00EE4FA5">
              <w:rPr>
                <w:rFonts w:ascii="Verdana" w:eastAsia="Times New Roman" w:hAnsi="Verdana" w:cs="Arial"/>
                <w:color w:val="000000"/>
                <w:sz w:val="20"/>
                <w:szCs w:val="20"/>
                <w:lang w:eastAsia="fr-FR"/>
              </w:rPr>
              <w:t xml:space="preserve"> </w:t>
            </w:r>
          </w:p>
        </w:tc>
      </w:tr>
      <w:tr w:rsidR="00EE4FA5" w:rsidRPr="00EE4FA5" w:rsidTr="00EE4FA5">
        <w:trPr>
          <w:trHeight w:val="721"/>
        </w:trPr>
        <w:tc>
          <w:tcPr>
            <w:tcW w:w="1394" w:type="dxa"/>
            <w:tcBorders>
              <w:top w:val="single" w:sz="18" w:space="0" w:color="FFFFFF"/>
              <w:left w:val="single" w:sz="18" w:space="0" w:color="FFFFFF"/>
              <w:bottom w:val="single" w:sz="18" w:space="0" w:color="FFFFFF"/>
              <w:right w:val="single" w:sz="18" w:space="0" w:color="FFFFFF"/>
            </w:tcBorders>
            <w:shd w:val="clear" w:color="auto" w:fill="261BF9"/>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Type de réactions</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261BF9"/>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Réaction locale type : douleur, gonflement, rougeur</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261BF9"/>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Fièvre plus de 38° C</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261BF9"/>
            <w:vAlign w:val="center"/>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Irritabilité, malaise et</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symptômes généralisés</w:t>
            </w:r>
            <w:r w:rsidRPr="00EE4FA5">
              <w:rPr>
                <w:rFonts w:ascii="Verdana" w:eastAsia="Times New Roman" w:hAnsi="Verdana" w:cs="Arial"/>
                <w:color w:val="000000"/>
                <w:sz w:val="20"/>
                <w:szCs w:val="20"/>
                <w:lang w:eastAsia="fr-FR"/>
              </w:rPr>
              <w:t xml:space="preserve"> </w:t>
            </w:r>
          </w:p>
        </w:tc>
      </w:tr>
      <w:tr w:rsidR="00EE4FA5" w:rsidRPr="00EE4FA5" w:rsidTr="00EE4FA5">
        <w:trPr>
          <w:trHeight w:hRule="exact" w:val="336"/>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BCG</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336"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90-95 %</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336"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336"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rPr>
          <w:trHeight w:hRule="exact" w:val="506"/>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Hib</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506"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5 -15%</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506"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2 -10 %</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506"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r>
      <w:tr w:rsidR="00EE4FA5" w:rsidRPr="00EE4FA5" w:rsidTr="00EE4FA5">
        <w:trPr>
          <w:trHeight w:hRule="exact" w:val="494"/>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HB</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Adulte : 15%</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494"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Enfant : 5%</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494"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494"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1 - 6 %</w:t>
            </w:r>
            <w:r w:rsidRPr="00EE4FA5">
              <w:rPr>
                <w:rFonts w:ascii="Verdana" w:eastAsia="Times New Roman" w:hAnsi="Verdana" w:cs="Arial"/>
                <w:color w:val="000000"/>
                <w:sz w:val="20"/>
                <w:szCs w:val="20"/>
                <w:lang w:eastAsia="fr-FR"/>
              </w:rPr>
              <w:t xml:space="preserve"> </w:t>
            </w:r>
          </w:p>
        </w:tc>
      </w:tr>
      <w:tr w:rsidR="00EE4FA5" w:rsidRPr="00EE4FA5" w:rsidTr="00EE4FA5">
        <w:trPr>
          <w:trHeight w:val="420"/>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Rougeole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&amp; ROR</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Environ 10%</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5 -15 %</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5% éruption</w:t>
            </w:r>
            <w:r w:rsidRPr="00EE4FA5">
              <w:rPr>
                <w:rFonts w:ascii="Verdana" w:eastAsia="Times New Roman" w:hAnsi="Verdana" w:cs="Arial"/>
                <w:color w:val="000000"/>
                <w:sz w:val="20"/>
                <w:szCs w:val="20"/>
                <w:lang w:eastAsia="fr-FR"/>
              </w:rPr>
              <w:t xml:space="preserve"> </w:t>
            </w:r>
          </w:p>
        </w:tc>
      </w:tr>
      <w:tr w:rsidR="00EE4FA5" w:rsidRPr="00EE4FA5" w:rsidTr="00EE4FA5">
        <w:trPr>
          <w:trHeight w:val="420"/>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Cs w:val="20"/>
                <w:lang w:eastAsia="fr-FR"/>
              </w:rPr>
              <w:t>Polio</w:t>
            </w:r>
            <w:r w:rsidRPr="00EE4FA5">
              <w:rPr>
                <w:rFonts w:ascii="Arial" w:eastAsia="Times New Roman" w:hAnsi="Arial" w:cs="Arial"/>
                <w:b/>
                <w:bCs/>
                <w:color w:val="FF0000"/>
                <w:szCs w:val="20"/>
                <w:rtl/>
                <w:lang w:eastAsia="fr-FR"/>
              </w:rPr>
              <w:t xml:space="preserve"> </w:t>
            </w:r>
            <w:r w:rsidRPr="00EE4FA5">
              <w:rPr>
                <w:rFonts w:ascii="Arial" w:eastAsia="Times New Roman" w:hAnsi="Arial" w:cs="Arial"/>
                <w:b/>
                <w:bCs/>
                <w:color w:val="FF0000"/>
                <w:szCs w:val="20"/>
                <w:lang w:eastAsia="fr-FR"/>
              </w:rPr>
              <w:t>VPO</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&lt; 1%</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&lt; 1%**</w:t>
            </w:r>
            <w:r w:rsidRPr="00EE4FA5">
              <w:rPr>
                <w:rFonts w:ascii="Verdana" w:eastAsia="Times New Roman" w:hAnsi="Verdana" w:cs="Arial"/>
                <w:color w:val="000000"/>
                <w:sz w:val="20"/>
                <w:szCs w:val="20"/>
                <w:lang w:eastAsia="fr-FR"/>
              </w:rPr>
              <w:t xml:space="preserve"> </w:t>
            </w:r>
          </w:p>
        </w:tc>
      </w:tr>
      <w:tr w:rsidR="00EE4FA5" w:rsidRPr="00EE4FA5" w:rsidTr="00EE4FA5">
        <w:trPr>
          <w:trHeight w:val="420"/>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Tétanos</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-10%</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-10%</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-25%</w:t>
            </w:r>
            <w:r w:rsidRPr="00EE4FA5">
              <w:rPr>
                <w:rFonts w:ascii="Verdana" w:eastAsia="Times New Roman" w:hAnsi="Verdana" w:cs="Arial"/>
                <w:color w:val="000000"/>
                <w:sz w:val="20"/>
                <w:szCs w:val="20"/>
                <w:lang w:eastAsia="fr-FR"/>
              </w:rPr>
              <w:t xml:space="preserve"> </w:t>
            </w:r>
          </w:p>
        </w:tc>
      </w:tr>
      <w:tr w:rsidR="00EE4FA5" w:rsidRPr="00EE4FA5" w:rsidTr="00EE4FA5">
        <w:trPr>
          <w:trHeight w:val="420"/>
        </w:trPr>
        <w:tc>
          <w:tcPr>
            <w:tcW w:w="139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DTC* coqueluche</w:t>
            </w:r>
            <w:r w:rsidRPr="00EE4FA5">
              <w:rPr>
                <w:rFonts w:ascii="Verdana" w:eastAsia="Times New Roman" w:hAnsi="Verdana" w:cs="Arial"/>
                <w:color w:val="000000"/>
                <w:sz w:val="20"/>
                <w:szCs w:val="20"/>
                <w:lang w:eastAsia="fr-FR"/>
              </w:rPr>
              <w:t xml:space="preserve"> </w:t>
            </w:r>
          </w:p>
        </w:tc>
        <w:tc>
          <w:tcPr>
            <w:tcW w:w="2386"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Jusqu’à 50 %</w:t>
            </w:r>
            <w:r w:rsidRPr="00EE4FA5">
              <w:rPr>
                <w:rFonts w:ascii="Verdana" w:eastAsia="Times New Roman" w:hAnsi="Verdana" w:cs="Arial"/>
                <w:color w:val="000000"/>
                <w:sz w:val="20"/>
                <w:szCs w:val="20"/>
                <w:lang w:eastAsia="fr-FR"/>
              </w:rPr>
              <w:t xml:space="preserve"> </w:t>
            </w:r>
          </w:p>
        </w:tc>
        <w:tc>
          <w:tcPr>
            <w:tcW w:w="1440"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Jusqu’à 50 %</w:t>
            </w:r>
            <w:r w:rsidRPr="00EE4FA5">
              <w:rPr>
                <w:rFonts w:ascii="Verdana" w:eastAsia="Times New Roman" w:hAnsi="Verdana" w:cs="Arial"/>
                <w:color w:val="000000"/>
                <w:sz w:val="20"/>
                <w:szCs w:val="20"/>
                <w:lang w:eastAsia="fr-FR"/>
              </w:rPr>
              <w:t xml:space="preserve"> </w:t>
            </w:r>
          </w:p>
        </w:tc>
        <w:tc>
          <w:tcPr>
            <w:tcW w:w="1934" w:type="dxa"/>
            <w:tcBorders>
              <w:top w:val="single" w:sz="18" w:space="0" w:color="FFFFFF"/>
              <w:left w:val="single" w:sz="18" w:space="0" w:color="FFFFFF"/>
              <w:bottom w:val="single" w:sz="18" w:space="0" w:color="FFFFFF"/>
              <w:right w:val="single" w:sz="18" w:space="0" w:color="FFFFFF"/>
            </w:tcBorders>
            <w:shd w:val="clear" w:color="auto" w:fill="BEBBFD"/>
            <w:vAlign w:val="center"/>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Jusqu’à 55 %</w:t>
            </w:r>
            <w:r w:rsidRPr="00EE4FA5">
              <w:rPr>
                <w:rFonts w:ascii="Verdana" w:eastAsia="Times New Roman" w:hAnsi="Verdana" w:cs="Arial"/>
                <w:color w:val="000000"/>
                <w:sz w:val="20"/>
                <w:szCs w:val="20"/>
                <w:lang w:eastAsia="fr-FR"/>
              </w:rPr>
              <w:t xml:space="preserve"> </w:t>
            </w:r>
          </w:p>
        </w:tc>
      </w:tr>
    </w:tbl>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xml:space="preserve"> *  Le taux de réaction locale risque d'augmenter avec les doses de rappel, pour aller jusqu'à 50-85 </w:t>
      </w:r>
      <w:r w:rsidRPr="00EE4FA5">
        <w:rPr>
          <w:rFonts w:ascii="Arial" w:eastAsia="Times New Roman" w:hAnsi="Arial" w:cs="Arial"/>
          <w:color w:val="000000"/>
          <w:sz w:val="20"/>
          <w:szCs w:val="20"/>
          <w:rtl/>
          <w:lang w:eastAsia="fr-FR"/>
        </w:rPr>
        <w:t> </w:t>
      </w:r>
      <w:r w:rsidRPr="00EE4FA5">
        <w:rPr>
          <w:rFonts w:ascii="Arial" w:eastAsia="Times New Roman" w:hAnsi="Arial" w:cs="Arial" w:hint="cs"/>
          <w:color w:val="000000"/>
          <w:sz w:val="20"/>
          <w:szCs w:val="20"/>
          <w:rtl/>
          <w:lang w:eastAsia="fr-FR"/>
        </w:rPr>
        <w:t> %</w:t>
      </w:r>
      <w:r w:rsidRPr="00EE4FA5">
        <w:rPr>
          <w:rFonts w:ascii="Verdana" w:eastAsia="Times New Roman" w:hAnsi="Verdana" w:cs="Arial"/>
          <w:color w:val="000000"/>
          <w:sz w:val="20"/>
          <w:szCs w:val="20"/>
          <w:rtl/>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w:t>
      </w:r>
      <w:r w:rsidRPr="00EE4FA5">
        <w:rPr>
          <w:rFonts w:ascii="Arial" w:eastAsia="Times New Roman" w:hAnsi="Arial" w:cs="Arial"/>
          <w:color w:val="000000"/>
          <w:sz w:val="20"/>
          <w:szCs w:val="20"/>
          <w:lang w:eastAsia="fr-FR"/>
        </w:rPr>
        <w:t> ** Les symptômes comprennent diarrhée, maux de tête et/ou douleurs musculaires.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bl>
      <w:tblPr>
        <w:tblW w:w="0" w:type="auto"/>
        <w:tblInd w:w="347"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ook w:val="01E0"/>
      </w:tblPr>
      <w:tblGrid>
        <w:gridCol w:w="1381"/>
        <w:gridCol w:w="3420"/>
        <w:gridCol w:w="2424"/>
      </w:tblGrid>
      <w:tr w:rsidR="00EE4FA5" w:rsidRPr="00EE4FA5" w:rsidTr="00EE4FA5">
        <w:tc>
          <w:tcPr>
            <w:tcW w:w="7225" w:type="dxa"/>
            <w:gridSpan w:val="3"/>
            <w:tcBorders>
              <w:top w:val="single" w:sz="18" w:space="0" w:color="FFFFFF"/>
              <w:left w:val="single" w:sz="18" w:space="0" w:color="FFFFFF"/>
              <w:bottom w:val="single" w:sz="18" w:space="0" w:color="FFFFFF"/>
              <w:right w:val="single" w:sz="18" w:space="0" w:color="FFFFFF"/>
            </w:tcBorders>
            <w:shd w:val="clear" w:color="auto" w:fill="0215C6"/>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8"/>
                <w:lang w:eastAsia="fr-FR"/>
              </w:rPr>
              <w:lastRenderedPageBreak/>
              <w:t>Réactions plus graves</w:t>
            </w:r>
            <w:r w:rsidRPr="00EE4FA5">
              <w:rPr>
                <w:rFonts w:ascii="Verdana" w:eastAsia="Times New Roman" w:hAnsi="Verdana" w:cs="Arial"/>
                <w:color w:val="000000"/>
                <w:sz w:val="20"/>
                <w:szCs w:val="20"/>
                <w:lang w:eastAsia="fr-FR"/>
              </w:rPr>
              <w:t xml:space="preserve"> </w:t>
            </w:r>
            <w:r w:rsidRPr="00EE4FA5">
              <w:rPr>
                <w:rFonts w:ascii="Arial" w:eastAsia="Times New Roman" w:hAnsi="Arial" w:cs="Arial"/>
                <w:b/>
                <w:bCs/>
                <w:caps/>
                <w:color w:val="FFFFFF"/>
                <w:sz w:val="28"/>
                <w:u w:val="single"/>
                <w:lang w:eastAsia="fr-FR"/>
              </w:rPr>
              <w:t>rares</w:t>
            </w:r>
            <w:r w:rsidRPr="00EE4FA5">
              <w:rPr>
                <w:rFonts w:ascii="Verdana" w:eastAsia="Times New Roman" w:hAnsi="Verdana" w:cs="Arial"/>
                <w:color w:val="000000"/>
                <w:sz w:val="20"/>
                <w:szCs w:val="20"/>
                <w:lang w:eastAsia="fr-FR"/>
              </w:rPr>
              <w:t xml:space="preserve"> </w:t>
            </w:r>
          </w:p>
        </w:tc>
      </w:tr>
      <w:tr w:rsidR="00EE4FA5" w:rsidRPr="00EE4FA5" w:rsidTr="00EE4FA5">
        <w:tc>
          <w:tcPr>
            <w:tcW w:w="1381" w:type="dxa"/>
            <w:tcBorders>
              <w:top w:val="single" w:sz="18" w:space="0" w:color="FFFFFF"/>
              <w:left w:val="single" w:sz="18" w:space="0" w:color="FFFFFF"/>
              <w:bottom w:val="single" w:sz="18" w:space="0" w:color="FFFFFF"/>
              <w:right w:val="single" w:sz="18" w:space="0" w:color="FFFFFF"/>
            </w:tcBorders>
            <w:shd w:val="clear" w:color="auto" w:fill="3144FD"/>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vaccin</w:t>
            </w:r>
            <w:r w:rsidRPr="00EE4FA5">
              <w:rPr>
                <w:rFonts w:ascii="Verdana" w:eastAsia="Times New Roman" w:hAnsi="Verdana" w:cs="Arial"/>
                <w:color w:val="000000"/>
                <w:sz w:val="20"/>
                <w:szCs w:val="20"/>
                <w:lang w:eastAsia="fr-FR"/>
              </w:rPr>
              <w:t xml:space="preserve"> </w:t>
            </w:r>
          </w:p>
        </w:tc>
        <w:tc>
          <w:tcPr>
            <w:tcW w:w="3420" w:type="dxa"/>
            <w:tcBorders>
              <w:top w:val="single" w:sz="18" w:space="0" w:color="FFFFFF"/>
              <w:left w:val="single" w:sz="18" w:space="0" w:color="FFFFFF"/>
              <w:bottom w:val="single" w:sz="18" w:space="0" w:color="FFFFFF"/>
              <w:right w:val="single" w:sz="18" w:space="0" w:color="FFFFFF"/>
            </w:tcBorders>
            <w:shd w:val="clear" w:color="auto" w:fill="3144FD"/>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Réaction</w:t>
            </w:r>
            <w:r w:rsidRPr="00EE4FA5">
              <w:rPr>
                <w:rFonts w:ascii="Verdana" w:eastAsia="Times New Roman" w:hAnsi="Verdana" w:cs="Arial"/>
                <w:color w:val="000000"/>
                <w:sz w:val="20"/>
                <w:szCs w:val="20"/>
                <w:lang w:eastAsia="fr-FR"/>
              </w:rPr>
              <w:t xml:space="preserve"> </w:t>
            </w:r>
          </w:p>
        </w:tc>
        <w:tc>
          <w:tcPr>
            <w:tcW w:w="2424" w:type="dxa"/>
            <w:tcBorders>
              <w:top w:val="single" w:sz="18" w:space="0" w:color="FFFFFF"/>
              <w:left w:val="single" w:sz="18" w:space="0" w:color="FFFFFF"/>
              <w:bottom w:val="single" w:sz="18" w:space="0" w:color="FFFFFF"/>
              <w:right w:val="single" w:sz="18" w:space="0" w:color="FFFFFF"/>
            </w:tcBorders>
            <w:shd w:val="clear" w:color="auto" w:fill="3144FD"/>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aps/>
                <w:color w:val="FFFFFF"/>
                <w:sz w:val="20"/>
                <w:lang w:eastAsia="fr-FR"/>
              </w:rPr>
              <w:t>Incidence</w:t>
            </w:r>
            <w:r w:rsidRPr="00EE4FA5">
              <w:rPr>
                <w:rFonts w:ascii="Verdana" w:eastAsia="Times New Roman" w:hAnsi="Verdana" w:cs="Arial"/>
                <w:color w:val="000000"/>
                <w:sz w:val="20"/>
                <w:szCs w:val="20"/>
                <w:lang w:eastAsia="fr-FR"/>
              </w:rPr>
              <w:t xml:space="preserve"> </w:t>
            </w:r>
          </w:p>
        </w:tc>
      </w:tr>
      <w:tr w:rsidR="00EE4FA5" w:rsidRPr="00EE4FA5" w:rsidTr="00EE4FA5">
        <w:tc>
          <w:tcPr>
            <w:tcW w:w="1381"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Polio (VPO)</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3420"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Poliomyélite post vaccinale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Le risque est plus élevé pour la</w:t>
            </w:r>
            <w:r w:rsidRPr="00EE4FA5">
              <w:rPr>
                <w:rFonts w:ascii="Arial" w:eastAsia="Times New Roman" w:hAnsi="Arial" w:cs="Arial"/>
                <w:color w:val="000000"/>
                <w:sz w:val="20"/>
                <w:szCs w:val="20"/>
                <w:lang w:eastAsia="fr-FR"/>
              </w:rPr>
              <w:br/>
              <w:t>première dose, chez les adultes et</w:t>
            </w:r>
            <w:r w:rsidRPr="00EE4FA5">
              <w:rPr>
                <w:rFonts w:ascii="Arial" w:eastAsia="Times New Roman" w:hAnsi="Arial" w:cs="Arial"/>
                <w:color w:val="000000"/>
                <w:sz w:val="20"/>
                <w:szCs w:val="20"/>
                <w:lang w:eastAsia="fr-FR"/>
              </w:rPr>
              <w:br/>
              <w:t>chez les sujets immunodéprimés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2424"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 sur 2.4 à 3.3 Millions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 sur 750 000 sur la première dose. Contre 1 sur 5,1 millions sur les doses ultérieures</w:t>
            </w:r>
            <w:r w:rsidRPr="00EE4FA5">
              <w:rPr>
                <w:rFonts w:ascii="Verdana" w:eastAsia="Times New Roman" w:hAnsi="Verdana" w:cs="Arial"/>
                <w:color w:val="000000"/>
                <w:sz w:val="20"/>
                <w:szCs w:val="20"/>
                <w:lang w:eastAsia="fr-FR"/>
              </w:rPr>
              <w:t xml:space="preserve"> </w:t>
            </w:r>
          </w:p>
        </w:tc>
      </w:tr>
      <w:tr w:rsidR="00EE4FA5" w:rsidRPr="00EE4FA5" w:rsidTr="00EE4FA5">
        <w:trPr>
          <w:trHeight w:val="819"/>
        </w:trPr>
        <w:tc>
          <w:tcPr>
            <w:tcW w:w="1381"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Tétanos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3420"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Névrite brachiale</w:t>
            </w:r>
            <w:r w:rsidRPr="00EE4FA5">
              <w:rPr>
                <w:rFonts w:ascii="Arial" w:eastAsia="Times New Roman" w:hAnsi="Arial" w:cs="Arial"/>
                <w:color w:val="000000"/>
                <w:sz w:val="20"/>
                <w:szCs w:val="20"/>
                <w:lang w:eastAsia="fr-FR"/>
              </w:rPr>
              <w:br/>
              <w:t>- Anaphylaxie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2424"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- 0,5 à 1 sur 100 000</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 sur 100 000 à 1 sur 2 500 000</w:t>
            </w:r>
            <w:r w:rsidRPr="00EE4FA5">
              <w:rPr>
                <w:rFonts w:ascii="Verdana" w:eastAsia="Times New Roman" w:hAnsi="Verdana" w:cs="Arial"/>
                <w:color w:val="000000"/>
                <w:sz w:val="20"/>
                <w:szCs w:val="20"/>
                <w:lang w:eastAsia="fr-FR"/>
              </w:rPr>
              <w:t xml:space="preserve"> </w:t>
            </w:r>
          </w:p>
        </w:tc>
      </w:tr>
      <w:tr w:rsidR="00EE4FA5" w:rsidRPr="00EE4FA5" w:rsidTr="00EE4FA5">
        <w:trPr>
          <w:trHeight w:val="1404"/>
        </w:trPr>
        <w:tc>
          <w:tcPr>
            <w:tcW w:w="1381"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b/>
                <w:bCs/>
                <w:color w:val="FF0000"/>
                <w:sz w:val="20"/>
                <w:lang w:eastAsia="fr-FR"/>
              </w:rPr>
              <w:t>Coqueluche</w:t>
            </w:r>
            <w:r w:rsidRPr="00EE4FA5">
              <w:rPr>
                <w:rFonts w:ascii="Verdana" w:eastAsia="Times New Roman" w:hAnsi="Verdana" w:cs="Arial"/>
                <w:color w:val="000000"/>
                <w:sz w:val="20"/>
                <w:szCs w:val="20"/>
                <w:lang w:eastAsia="fr-FR"/>
              </w:rPr>
              <w:t xml:space="preserve"> </w:t>
            </w:r>
            <w:r w:rsidRPr="00EE4FA5">
              <w:rPr>
                <w:rFonts w:ascii="Arial" w:eastAsia="Times New Roman" w:hAnsi="Arial" w:cs="Arial"/>
                <w:color w:val="000000"/>
                <w:sz w:val="20"/>
                <w:szCs w:val="20"/>
                <w:lang w:eastAsia="fr-FR"/>
              </w:rPr>
              <w:t>(DTC) à germes entiers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w:t>
            </w:r>
            <w:r w:rsidRPr="00EE4FA5">
              <w:rPr>
                <w:rFonts w:ascii="Verdana" w:eastAsia="Times New Roman" w:hAnsi="Verdana" w:cs="Arial"/>
                <w:color w:val="000000"/>
                <w:sz w:val="20"/>
                <w:szCs w:val="20"/>
                <w:lang w:eastAsia="fr-FR"/>
              </w:rPr>
              <w:t xml:space="preserve"> </w:t>
            </w:r>
          </w:p>
        </w:tc>
        <w:tc>
          <w:tcPr>
            <w:tcW w:w="3420"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Cris persistants</w:t>
            </w:r>
            <w:r w:rsidRPr="00EE4FA5">
              <w:rPr>
                <w:rFonts w:ascii="Arial" w:eastAsia="Times New Roman" w:hAnsi="Arial" w:cs="Arial"/>
                <w:color w:val="000000"/>
                <w:sz w:val="20"/>
                <w:szCs w:val="20"/>
                <w:lang w:eastAsia="fr-FR"/>
              </w:rPr>
              <w:br/>
              <w:t>- Convulsions</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Episode d’hypotonie hyporéflexie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Anaphylaxie</w:t>
            </w:r>
            <w:r w:rsidRPr="00EE4FA5">
              <w:rPr>
                <w:rFonts w:ascii="Arial" w:eastAsia="Times New Roman" w:hAnsi="Arial" w:cs="Arial"/>
                <w:color w:val="000000"/>
                <w:sz w:val="20"/>
                <w:szCs w:val="20"/>
                <w:lang w:eastAsia="fr-FR"/>
              </w:rPr>
              <w:br/>
              <w:t>- Encéphalopathie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(Note : le risque n’est pas confirmé)</w:t>
            </w:r>
            <w:r w:rsidRPr="00EE4FA5">
              <w:rPr>
                <w:rFonts w:ascii="Verdana" w:eastAsia="Times New Roman" w:hAnsi="Verdana" w:cs="Arial"/>
                <w:color w:val="000000"/>
                <w:sz w:val="20"/>
                <w:szCs w:val="20"/>
                <w:lang w:eastAsia="fr-FR"/>
              </w:rPr>
              <w:t xml:space="preserve"> </w:t>
            </w:r>
          </w:p>
        </w:tc>
        <w:tc>
          <w:tcPr>
            <w:tcW w:w="2424" w:type="dxa"/>
            <w:tcBorders>
              <w:top w:val="single" w:sz="18" w:space="0" w:color="FFFFFF"/>
              <w:left w:val="single" w:sz="18" w:space="0" w:color="FFFFFF"/>
              <w:bottom w:val="single" w:sz="18" w:space="0" w:color="FFFFFF"/>
              <w:right w:val="single" w:sz="18" w:space="0" w:color="FFFFFF"/>
            </w:tcBorders>
            <w:shd w:val="clear" w:color="auto" w:fill="BEC4FE"/>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-1 sur 15 à 1 sur 1 000</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- 1/1750 à 1/12 500</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- 1/1000 à 1/33000</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- 1/50 000</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- 0 à 1 / 1 million</w:t>
            </w:r>
            <w:r w:rsidRPr="00EE4FA5">
              <w:rPr>
                <w:rFonts w:ascii="Verdana" w:eastAsia="Times New Roman" w:hAnsi="Verdana" w:cs="Arial"/>
                <w:color w:val="000000"/>
                <w:sz w:val="20"/>
                <w:szCs w:val="20"/>
                <w:lang w:eastAsia="fr-FR"/>
              </w:rPr>
              <w:t xml:space="preserve"> </w:t>
            </w:r>
          </w:p>
        </w:tc>
      </w:tr>
    </w:tbl>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3366FF"/>
          <w:sz w:val="24"/>
          <w:szCs w:val="24"/>
          <w:u w:val="single"/>
          <w:lang w:eastAsia="fr-FR"/>
        </w:rPr>
        <w:t>Post-scriptum faisant suite au commentaire du 30/03/2012</w:t>
      </w:r>
      <w:r w:rsidRPr="00EE4FA5">
        <w:rPr>
          <w:rFonts w:ascii="Arial" w:eastAsia="Times New Roman" w:hAnsi="Arial" w:cs="Arial"/>
          <w:color w:val="000000"/>
          <w:sz w:val="20"/>
          <w:szCs w:val="20"/>
          <w:lang w:eastAsia="fr-FR"/>
        </w:rPr>
        <w:t xml:space="preserv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w:t>
      </w:r>
      <w:r w:rsidRPr="00EE4FA5">
        <w:rPr>
          <w:rFonts w:ascii="Arial" w:eastAsia="Times New Roman" w:hAnsi="Arial" w:cs="Arial"/>
          <w:b/>
          <w:bCs/>
          <w:color w:val="000000"/>
          <w:sz w:val="24"/>
          <w:szCs w:val="24"/>
          <w:u w:val="single"/>
          <w:lang w:eastAsia="fr-FR"/>
        </w:rPr>
        <w:t>Vaccins &amp; corticothérapie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xml:space="preserve">   - Les corticoïdes ont un effet immunosuppresseur, en cas </w:t>
      </w:r>
      <w:r w:rsidRPr="00EE4FA5">
        <w:rPr>
          <w:rFonts w:ascii="Arial" w:eastAsia="Times New Roman" w:hAnsi="Arial" w:cs="Arial"/>
          <w:color w:val="000000"/>
          <w:sz w:val="20"/>
          <w:szCs w:val="20"/>
          <w:u w:val="single"/>
          <w:shd w:val="clear" w:color="auto" w:fill="D2F7F8"/>
          <w:lang w:eastAsia="fr-FR"/>
        </w:rPr>
        <w:t>d’un vaccin vivant</w:t>
      </w:r>
      <w:r w:rsidRPr="00EE4FA5">
        <w:rPr>
          <w:rFonts w:ascii="Arial" w:eastAsia="Times New Roman" w:hAnsi="Arial" w:cs="Arial"/>
          <w:color w:val="000000"/>
          <w:sz w:val="20"/>
          <w:szCs w:val="20"/>
          <w:lang w:eastAsia="fr-FR"/>
        </w:rPr>
        <w:t xml:space="preserve"> le risque potentiel est la prolifération de la souche de ce dernier, impliquant une accentuation des effets secondaires  du vaccin. Par ailleurs il existe un risque sérieux de </w:t>
      </w:r>
      <w:r w:rsidRPr="00EE4FA5">
        <w:rPr>
          <w:rFonts w:ascii="Arial" w:eastAsia="Times New Roman" w:hAnsi="Arial" w:cs="Arial"/>
          <w:color w:val="000000"/>
          <w:sz w:val="20"/>
          <w:szCs w:val="20"/>
          <w:shd w:val="clear" w:color="auto" w:fill="D2F7F8"/>
          <w:lang w:eastAsia="fr-FR"/>
        </w:rPr>
        <w:t>réversion de l'atténuation du virus ou de la bactérie</w:t>
      </w:r>
      <w:r w:rsidRPr="00EE4FA5">
        <w:rPr>
          <w:rFonts w:ascii="Arial" w:eastAsia="Times New Roman" w:hAnsi="Arial" w:cs="Arial"/>
          <w:color w:val="000000"/>
          <w:sz w:val="20"/>
          <w:szCs w:val="20"/>
          <w:lang w:eastAsia="fr-FR"/>
        </w:rPr>
        <w:t>. Avant d'utiliser les vaccins vivants atténués, il est prudent d'attendre 3 mois après l'arrêt du traitement immunosuppresseur puissant.</w:t>
      </w:r>
      <w:r w:rsidRPr="00EE4FA5">
        <w:rPr>
          <w:rFonts w:ascii="Arial" w:eastAsia="Times New Roman" w:hAnsi="Arial" w:cs="Arial"/>
          <w:color w:val="000000"/>
          <w:sz w:val="20"/>
          <w:szCs w:val="20"/>
          <w:lang w:eastAsia="fr-FR"/>
        </w:rPr>
        <w:br/>
        <w:t xml:space="preserve">   - </w:t>
      </w:r>
      <w:r w:rsidRPr="00EE4FA5">
        <w:rPr>
          <w:rFonts w:ascii="Arial" w:eastAsia="Times New Roman" w:hAnsi="Arial" w:cs="Arial"/>
          <w:color w:val="000000"/>
          <w:sz w:val="20"/>
          <w:szCs w:val="20"/>
          <w:u w:val="single"/>
          <w:shd w:val="clear" w:color="auto" w:fill="D2F7F8"/>
          <w:lang w:eastAsia="fr-FR"/>
        </w:rPr>
        <w:t>Les vaccins inactivés ou recombinants</w:t>
      </w:r>
      <w:r w:rsidRPr="00EE4FA5">
        <w:rPr>
          <w:rFonts w:ascii="Arial" w:eastAsia="Times New Roman" w:hAnsi="Arial" w:cs="Arial"/>
          <w:color w:val="000000"/>
          <w:sz w:val="20"/>
          <w:szCs w:val="20"/>
          <w:lang w:eastAsia="fr-FR"/>
        </w:rPr>
        <w:t xml:space="preserve"> peuvent être utilisés chez les patients sous corticoïdes. Avec ce type de vaccin il n'y a évidemment pas de risque de réversion de l'atténuation du virus ou de la bactérie. Cependant  il risque théorique  celui de réduire l’amplitude de la réaction immunologique naturelle du corps induite par vaccin. Ce qui, théoriquement, tendrait à réduire l’efficacité de ce dernier.  </w:t>
      </w:r>
      <w:r w:rsidRPr="00EE4FA5">
        <w:rPr>
          <w:rFonts w:ascii="Verdana" w:eastAsia="Times New Roman" w:hAnsi="Verdana" w:cs="Arial"/>
          <w:color w:val="000000"/>
          <w:sz w:val="20"/>
          <w:szCs w:val="20"/>
          <w:lang w:eastAsia="fr-FR"/>
        </w:rPr>
        <w:t xml:space="preserve"> </w:t>
      </w:r>
    </w:p>
    <w:tbl>
      <w:tblPr>
        <w:tblW w:w="0" w:type="auto"/>
        <w:tblCellSpacing w:w="0"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shd w:val="pct10" w:color="auto" w:fill="auto"/>
        <w:tblCellMar>
          <w:top w:w="30" w:type="dxa"/>
          <w:left w:w="30" w:type="dxa"/>
          <w:bottom w:w="30" w:type="dxa"/>
          <w:right w:w="30" w:type="dxa"/>
        </w:tblCellMar>
        <w:tblLook w:val="04A0"/>
      </w:tblPr>
      <w:tblGrid>
        <w:gridCol w:w="2663"/>
        <w:gridCol w:w="3485"/>
      </w:tblGrid>
      <w:tr w:rsidR="00EE4FA5" w:rsidRPr="00EE4FA5" w:rsidTr="00EE4FA5">
        <w:trPr>
          <w:tblCellSpacing w:w="0" w:type="dxa"/>
        </w:trPr>
        <w:tc>
          <w:tcPr>
            <w:tcW w:w="0" w:type="auto"/>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FF0000"/>
                <w:sz w:val="20"/>
                <w:u w:val="single"/>
                <w:lang w:eastAsia="fr-FR"/>
              </w:rPr>
              <w:t>Vaccins vivants atténués</w:t>
            </w:r>
            <w:r w:rsidRPr="00EE4FA5">
              <w:rPr>
                <w:rFonts w:ascii="Arial" w:eastAsia="Times New Roman" w:hAnsi="Arial" w:cs="Arial"/>
                <w:color w:val="000000"/>
                <w:sz w:val="20"/>
                <w:szCs w:val="20"/>
                <w:lang w:eastAsia="fr-FR"/>
              </w:rPr>
              <w:br/>
              <w:t>(</w:t>
            </w:r>
            <w:r w:rsidRPr="00EE4FA5">
              <w:rPr>
                <w:rFonts w:ascii="Arial" w:eastAsia="Times New Roman" w:hAnsi="Arial" w:cs="Arial"/>
                <w:color w:val="000000"/>
                <w:sz w:val="16"/>
                <w:szCs w:val="16"/>
                <w:lang w:eastAsia="fr-FR"/>
              </w:rPr>
              <w:t>Voie d'administration</w:t>
            </w:r>
            <w:r w:rsidRPr="00EE4FA5">
              <w:rPr>
                <w:rFonts w:ascii="Arial" w:eastAsia="Times New Roman" w:hAnsi="Arial" w:cs="Arial"/>
                <w:color w:val="000000"/>
                <w:sz w:val="20"/>
                <w:szCs w:val="20"/>
                <w:lang w:eastAsia="fr-FR"/>
              </w:rPr>
              <w:t>)</w:t>
            </w:r>
            <w:r w:rsidRPr="00EE4FA5">
              <w:rPr>
                <w:rFonts w:ascii="Verdana" w:eastAsia="Times New Roman" w:hAnsi="Verdana" w:cs="Arial"/>
                <w:color w:val="000000"/>
                <w:sz w:val="20"/>
                <w:szCs w:val="20"/>
                <w:lang w:eastAsia="fr-FR"/>
              </w:rPr>
              <w:t xml:space="preserve"> </w:t>
            </w:r>
          </w:p>
        </w:tc>
        <w:tc>
          <w:tcPr>
            <w:tcW w:w="0" w:type="auto"/>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0000FF"/>
                <w:sz w:val="20"/>
                <w:u w:val="single"/>
                <w:lang w:eastAsia="fr-FR"/>
              </w:rPr>
              <w:t>Vaccins inactivés ou recombinants</w:t>
            </w:r>
            <w:r w:rsidRPr="00EE4FA5">
              <w:rPr>
                <w:rFonts w:ascii="Arial" w:eastAsia="Times New Roman" w:hAnsi="Arial" w:cs="Arial"/>
                <w:color w:val="000000"/>
                <w:sz w:val="20"/>
                <w:szCs w:val="20"/>
                <w:lang w:eastAsia="fr-FR"/>
              </w:rPr>
              <w:br/>
              <w:t>(</w:t>
            </w:r>
            <w:r w:rsidRPr="00EE4FA5">
              <w:rPr>
                <w:rFonts w:ascii="Arial" w:eastAsia="Times New Roman" w:hAnsi="Arial" w:cs="Arial"/>
                <w:color w:val="000000"/>
                <w:sz w:val="16"/>
                <w:szCs w:val="16"/>
                <w:lang w:eastAsia="fr-FR"/>
              </w:rPr>
              <w:t>Voie d'administration</w:t>
            </w:r>
            <w:r w:rsidRPr="00EE4FA5">
              <w:rPr>
                <w:rFonts w:ascii="Arial" w:eastAsia="Times New Roman" w:hAnsi="Arial" w:cs="Arial"/>
                <w:color w:val="000000"/>
                <w:sz w:val="20"/>
                <w:szCs w:val="20"/>
                <w:lang w:eastAsia="fr-FR"/>
              </w:rPr>
              <w:t>)</w:t>
            </w:r>
            <w:r w:rsidRPr="00EE4FA5">
              <w:rPr>
                <w:rFonts w:ascii="Verdana" w:eastAsia="Times New Roman" w:hAnsi="Verdana" w:cs="Arial"/>
                <w:color w:val="000000"/>
                <w:sz w:val="20"/>
                <w:szCs w:val="20"/>
                <w:lang w:eastAsia="fr-FR"/>
              </w:rPr>
              <w:t xml:space="preserve"> </w:t>
            </w:r>
          </w:p>
        </w:tc>
      </w:tr>
      <w:tr w:rsidR="00EE4FA5" w:rsidRPr="00EE4FA5" w:rsidTr="00EE4FA5">
        <w:trPr>
          <w:tblCellSpacing w:w="0" w:type="dxa"/>
        </w:trPr>
        <w:tc>
          <w:tcPr>
            <w:tcW w:w="0" w:type="auto"/>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Fièvre jaune (Sscut, IM)</w:t>
            </w:r>
            <w:r w:rsidRPr="00EE4FA5">
              <w:rPr>
                <w:rFonts w:ascii="Arial" w:eastAsia="Times New Roman" w:hAnsi="Arial" w:cs="Arial"/>
                <w:color w:val="000000"/>
                <w:sz w:val="20"/>
                <w:szCs w:val="20"/>
                <w:lang w:eastAsia="fr-FR"/>
              </w:rPr>
              <w:br/>
              <w:t>Oreillons (Sscut, IM)</w:t>
            </w:r>
            <w:r w:rsidRPr="00EE4FA5">
              <w:rPr>
                <w:rFonts w:ascii="Arial" w:eastAsia="Times New Roman" w:hAnsi="Arial" w:cs="Arial"/>
                <w:color w:val="000000"/>
                <w:sz w:val="20"/>
                <w:szCs w:val="20"/>
                <w:lang w:eastAsia="fr-FR"/>
              </w:rPr>
              <w:br/>
              <w:t>Rougeole (Sscut, IM)</w:t>
            </w:r>
            <w:r w:rsidRPr="00EE4FA5">
              <w:rPr>
                <w:rFonts w:ascii="Arial" w:eastAsia="Times New Roman" w:hAnsi="Arial" w:cs="Arial"/>
                <w:color w:val="000000"/>
                <w:sz w:val="20"/>
                <w:szCs w:val="20"/>
                <w:lang w:eastAsia="fr-FR"/>
              </w:rPr>
              <w:br/>
              <w:t>Rubéole (Sscut, IM)</w:t>
            </w:r>
            <w:r w:rsidRPr="00EE4FA5">
              <w:rPr>
                <w:rFonts w:ascii="Arial" w:eastAsia="Times New Roman" w:hAnsi="Arial" w:cs="Arial"/>
                <w:color w:val="000000"/>
                <w:sz w:val="20"/>
                <w:szCs w:val="20"/>
                <w:lang w:eastAsia="fr-FR"/>
              </w:rPr>
              <w:br/>
              <w:t>Poliomyélite (orale)</w:t>
            </w:r>
            <w:r w:rsidRPr="00EE4FA5">
              <w:rPr>
                <w:rFonts w:ascii="Arial" w:eastAsia="Times New Roman" w:hAnsi="Arial" w:cs="Arial"/>
                <w:color w:val="000000"/>
                <w:sz w:val="20"/>
                <w:szCs w:val="20"/>
                <w:lang w:eastAsia="fr-FR"/>
              </w:rPr>
              <w:br/>
              <w:t>Tuberculose (intradermique)</w:t>
            </w:r>
            <w:r w:rsidRPr="00EE4FA5">
              <w:rPr>
                <w:rFonts w:ascii="Arial" w:eastAsia="Times New Roman" w:hAnsi="Arial" w:cs="Arial"/>
                <w:color w:val="000000"/>
                <w:sz w:val="20"/>
                <w:szCs w:val="20"/>
                <w:lang w:eastAsia="fr-FR"/>
              </w:rPr>
              <w:br/>
              <w:t>Varicelle (Sscut)</w:t>
            </w:r>
            <w:r w:rsidRPr="00EE4FA5">
              <w:rPr>
                <w:rFonts w:ascii="Verdana" w:eastAsia="Times New Roman" w:hAnsi="Verdana" w:cs="Arial"/>
                <w:color w:val="000000"/>
                <w:sz w:val="20"/>
                <w:szCs w:val="20"/>
                <w:lang w:eastAsia="fr-FR"/>
              </w:rPr>
              <w:t xml:space="preserve"> </w:t>
            </w:r>
          </w:p>
        </w:tc>
        <w:tc>
          <w:tcPr>
            <w:tcW w:w="0" w:type="auto"/>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hideMark/>
          </w:tcPr>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Tétanos (Sscut, IM)</w:t>
            </w:r>
            <w:r w:rsidRPr="00EE4FA5">
              <w:rPr>
                <w:rFonts w:ascii="Arial" w:eastAsia="Times New Roman" w:hAnsi="Arial" w:cs="Arial"/>
                <w:color w:val="000000"/>
                <w:sz w:val="20"/>
                <w:szCs w:val="20"/>
                <w:lang w:eastAsia="fr-FR"/>
              </w:rPr>
              <w:br/>
              <w:t>Diphtérie (Sscut, IM)</w:t>
            </w:r>
            <w:r w:rsidRPr="00EE4FA5">
              <w:rPr>
                <w:rFonts w:ascii="Arial" w:eastAsia="Times New Roman" w:hAnsi="Arial" w:cs="Arial"/>
                <w:color w:val="000000"/>
                <w:sz w:val="20"/>
                <w:szCs w:val="20"/>
                <w:lang w:eastAsia="fr-FR"/>
              </w:rPr>
              <w:br/>
              <w:t>Coqueluche (Sscut, IM)</w:t>
            </w:r>
            <w:r w:rsidRPr="00EE4FA5">
              <w:rPr>
                <w:rFonts w:ascii="Arial" w:eastAsia="Times New Roman" w:hAnsi="Arial" w:cs="Arial"/>
                <w:color w:val="000000"/>
                <w:sz w:val="20"/>
                <w:szCs w:val="20"/>
                <w:lang w:eastAsia="fr-FR"/>
              </w:rPr>
              <w:br/>
              <w:t>Méningocoque (Sscut, IM)</w:t>
            </w:r>
            <w:r w:rsidRPr="00EE4FA5">
              <w:rPr>
                <w:rFonts w:ascii="Arial" w:eastAsia="Times New Roman" w:hAnsi="Arial" w:cs="Arial"/>
                <w:color w:val="000000"/>
                <w:sz w:val="20"/>
                <w:szCs w:val="20"/>
                <w:lang w:eastAsia="fr-FR"/>
              </w:rPr>
              <w:br/>
              <w:t>Poliomyélite (Sscut, IM)</w:t>
            </w:r>
            <w:r w:rsidRPr="00EE4FA5">
              <w:rPr>
                <w:rFonts w:ascii="Arial" w:eastAsia="Times New Roman" w:hAnsi="Arial" w:cs="Arial"/>
                <w:color w:val="000000"/>
                <w:sz w:val="20"/>
                <w:szCs w:val="20"/>
                <w:lang w:eastAsia="fr-FR"/>
              </w:rPr>
              <w:br/>
              <w:t>Grippe (Sscut, IM)</w:t>
            </w:r>
            <w:r w:rsidRPr="00EE4FA5">
              <w:rPr>
                <w:rFonts w:ascii="Arial" w:eastAsia="Times New Roman" w:hAnsi="Arial" w:cs="Arial"/>
                <w:color w:val="000000"/>
                <w:sz w:val="20"/>
                <w:szCs w:val="20"/>
                <w:lang w:eastAsia="fr-FR"/>
              </w:rPr>
              <w:br/>
              <w:t>Hépatite A (IM)</w:t>
            </w:r>
            <w:r w:rsidRPr="00EE4FA5">
              <w:rPr>
                <w:rFonts w:ascii="Arial" w:eastAsia="Times New Roman" w:hAnsi="Arial" w:cs="Arial"/>
                <w:color w:val="000000"/>
                <w:sz w:val="20"/>
                <w:szCs w:val="20"/>
                <w:lang w:eastAsia="fr-FR"/>
              </w:rPr>
              <w:br/>
              <w:t>Hépatite B (IM)</w:t>
            </w:r>
            <w:r w:rsidRPr="00EE4FA5">
              <w:rPr>
                <w:rFonts w:ascii="Arial" w:eastAsia="Times New Roman" w:hAnsi="Arial" w:cs="Arial"/>
                <w:color w:val="000000"/>
                <w:sz w:val="20"/>
                <w:szCs w:val="20"/>
                <w:lang w:eastAsia="fr-FR"/>
              </w:rPr>
              <w:br/>
              <w:t>Pneumocoque (IM)</w:t>
            </w:r>
            <w:r w:rsidRPr="00EE4FA5">
              <w:rPr>
                <w:rFonts w:ascii="Arial" w:eastAsia="Times New Roman" w:hAnsi="Arial" w:cs="Arial"/>
                <w:color w:val="000000"/>
                <w:sz w:val="20"/>
                <w:szCs w:val="20"/>
                <w:lang w:eastAsia="fr-FR"/>
              </w:rPr>
              <w:br/>
              <w:t>Fièvre typhoïde (IM)</w:t>
            </w:r>
            <w:r w:rsidRPr="00EE4FA5">
              <w:rPr>
                <w:rFonts w:ascii="Arial" w:eastAsia="Times New Roman" w:hAnsi="Arial" w:cs="Arial"/>
                <w:color w:val="000000"/>
                <w:sz w:val="20"/>
                <w:szCs w:val="20"/>
                <w:lang w:eastAsia="fr-FR"/>
              </w:rPr>
              <w:br/>
              <w:t>Haemophilus (Sscut, IM)</w:t>
            </w:r>
            <w:r w:rsidRPr="00EE4FA5">
              <w:rPr>
                <w:rFonts w:ascii="Verdana" w:eastAsia="Times New Roman" w:hAnsi="Verdana" w:cs="Arial"/>
                <w:color w:val="000000"/>
                <w:sz w:val="20"/>
                <w:szCs w:val="20"/>
                <w:lang w:eastAsia="fr-FR"/>
              </w:rPr>
              <w:t xml:space="preserve"> </w:t>
            </w:r>
          </w:p>
        </w:tc>
      </w:tr>
      <w:tr w:rsidR="00EE4FA5" w:rsidRPr="00EE4FA5" w:rsidTr="00EE4FA5">
        <w:trPr>
          <w:tblCellSpacing w:w="0" w:type="dxa"/>
        </w:trPr>
        <w:tc>
          <w:tcPr>
            <w:tcW w:w="0" w:type="auto"/>
            <w:gridSpan w:val="2"/>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hideMark/>
          </w:tcPr>
          <w:p w:rsidR="00EE4FA5" w:rsidRPr="00EE4FA5" w:rsidRDefault="00EE4FA5" w:rsidP="00EE4FA5">
            <w:pPr>
              <w:spacing w:after="0" w:line="240" w:lineRule="auto"/>
              <w:jc w:val="center"/>
              <w:rPr>
                <w:rFonts w:ascii="Verdana" w:eastAsia="Times New Roman" w:hAnsi="Verdana" w:cs="Arial"/>
                <w:color w:val="000000"/>
                <w:sz w:val="20"/>
                <w:szCs w:val="20"/>
                <w:lang w:eastAsia="fr-FR"/>
              </w:rPr>
            </w:pPr>
            <w:r w:rsidRPr="00EE4FA5">
              <w:rPr>
                <w:rFonts w:ascii="Arial" w:eastAsia="Times New Roman" w:hAnsi="Arial" w:cs="Arial"/>
                <w:color w:val="000000"/>
                <w:sz w:val="16"/>
                <w:szCs w:val="16"/>
                <w:lang w:eastAsia="fr-FR"/>
              </w:rPr>
              <w:t>(Sscut : sous-cutanée; IM : intramusculaire)</w:t>
            </w:r>
            <w:r w:rsidRPr="00EE4FA5">
              <w:rPr>
                <w:rFonts w:ascii="Verdana" w:eastAsia="Times New Roman" w:hAnsi="Verdana" w:cs="Arial"/>
                <w:color w:val="000000"/>
                <w:sz w:val="20"/>
                <w:szCs w:val="20"/>
                <w:lang w:eastAsia="fr-FR"/>
              </w:rPr>
              <w:t xml:space="preserve"> </w:t>
            </w:r>
          </w:p>
        </w:tc>
      </w:tr>
    </w:tbl>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b/>
          <w:bCs/>
          <w:color w:val="000000"/>
          <w:sz w:val="20"/>
          <w:u w:val="single"/>
          <w:lang w:eastAsia="fr-FR"/>
        </w:rPr>
        <w:t>En pratique :</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Pour les Vaccins vivants atténués la question est tranchée : c’est une contre-indication claire.</w:t>
      </w:r>
      <w:r w:rsidRPr="00EE4FA5">
        <w:rPr>
          <w:rFonts w:ascii="Verdana" w:eastAsia="Times New Roman" w:hAnsi="Verdana" w:cs="Arial"/>
          <w:color w:val="000000"/>
          <w:sz w:val="20"/>
          <w:szCs w:val="20"/>
          <w:lang w:eastAsia="fr-FR"/>
        </w:rPr>
        <w:t xml:space="preserve"> </w:t>
      </w:r>
    </w:p>
    <w:p w:rsidR="00EE4FA5" w:rsidRPr="00EE4FA5" w:rsidRDefault="00EE4FA5" w:rsidP="00EE4FA5">
      <w:pPr>
        <w:spacing w:after="0" w:line="240" w:lineRule="auto"/>
        <w:rPr>
          <w:rFonts w:ascii="Verdana" w:eastAsia="Times New Roman" w:hAnsi="Verdana" w:cs="Arial"/>
          <w:color w:val="000000"/>
          <w:sz w:val="20"/>
          <w:szCs w:val="20"/>
          <w:lang w:eastAsia="fr-FR"/>
        </w:rPr>
      </w:pPr>
      <w:r w:rsidRPr="00EE4FA5">
        <w:rPr>
          <w:rFonts w:ascii="Arial" w:eastAsia="Times New Roman" w:hAnsi="Arial" w:cs="Arial"/>
          <w:color w:val="000000"/>
          <w:sz w:val="20"/>
          <w:szCs w:val="20"/>
          <w:lang w:eastAsia="fr-FR"/>
        </w:rPr>
        <w:t>- Pour les vaccins inactivés ou recombinants, si une corticothérapie, en aigu, à forte dose, sur de courtes périodes (5j), est nécessaire, la vaccination dans ce cas peut être rattrapée par la suite sans problème dans la majorité des cas. Si la corticothérapie est utilisée en chronique (cas de certaines maladies générales) dans ce cas les posologies évoluent vers la baisse par palier, la vaccination pose un problème en particulier au début du traitement lords des posologies fortes (supra-physiologiques).</w:t>
      </w:r>
    </w:p>
    <w:p w:rsidR="003417DE" w:rsidRDefault="00EE4FA5"/>
    <w:sectPr w:rsidR="003417DE" w:rsidSect="009D0AC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characterSpacingControl w:val="doNotCompress"/>
  <w:compat/>
  <w:rsids>
    <w:rsidRoot w:val="00EE4FA5"/>
    <w:rsid w:val="002E6076"/>
    <w:rsid w:val="005C6258"/>
    <w:rsid w:val="009D0ACC"/>
    <w:rsid w:val="00EE4F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AC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EE4FA5"/>
    <w:rPr>
      <w:color w:val="5675A4"/>
      <w:sz w:val="26"/>
      <w:szCs w:val="26"/>
      <w:u w:val="single"/>
    </w:rPr>
  </w:style>
  <w:style w:type="character" w:styleId="lev">
    <w:name w:val="Strong"/>
    <w:basedOn w:val="Policepardfaut"/>
    <w:uiPriority w:val="22"/>
    <w:qFormat/>
    <w:rsid w:val="00EE4FA5"/>
    <w:rPr>
      <w:b/>
      <w:bCs/>
    </w:rPr>
  </w:style>
</w:styles>
</file>

<file path=word/webSettings.xml><?xml version="1.0" encoding="utf-8"?>
<w:webSettings xmlns:r="http://schemas.openxmlformats.org/officeDocument/2006/relationships" xmlns:w="http://schemas.openxmlformats.org/wordprocessingml/2006/main">
  <w:divs>
    <w:div w:id="934287746">
      <w:bodyDiv w:val="1"/>
      <w:marLeft w:val="0"/>
      <w:marRight w:val="0"/>
      <w:marTop w:val="0"/>
      <w:marBottom w:val="0"/>
      <w:divBdr>
        <w:top w:val="none" w:sz="0" w:space="0" w:color="auto"/>
        <w:left w:val="none" w:sz="0" w:space="0" w:color="auto"/>
        <w:bottom w:val="none" w:sz="0" w:space="0" w:color="auto"/>
        <w:right w:val="none" w:sz="0" w:space="0" w:color="auto"/>
      </w:divBdr>
      <w:divsChild>
        <w:div w:id="1226261457">
          <w:marLeft w:val="0"/>
          <w:marRight w:val="0"/>
          <w:marTop w:val="0"/>
          <w:marBottom w:val="0"/>
          <w:divBdr>
            <w:top w:val="none" w:sz="0" w:space="0" w:color="auto"/>
            <w:left w:val="none" w:sz="0" w:space="0" w:color="auto"/>
            <w:bottom w:val="none" w:sz="0" w:space="0" w:color="auto"/>
            <w:right w:val="none" w:sz="0" w:space="0" w:color="auto"/>
          </w:divBdr>
          <w:divsChild>
            <w:div w:id="1076439091">
              <w:marLeft w:val="0"/>
              <w:marRight w:val="0"/>
              <w:marTop w:val="0"/>
              <w:marBottom w:val="0"/>
              <w:divBdr>
                <w:top w:val="none" w:sz="0" w:space="0" w:color="auto"/>
                <w:left w:val="none" w:sz="0" w:space="0" w:color="auto"/>
                <w:bottom w:val="none" w:sz="0" w:space="0" w:color="auto"/>
                <w:right w:val="none" w:sz="0" w:space="0" w:color="auto"/>
              </w:divBdr>
              <w:divsChild>
                <w:div w:id="1972511378">
                  <w:marLeft w:val="0"/>
                  <w:marRight w:val="0"/>
                  <w:marTop w:val="0"/>
                  <w:marBottom w:val="0"/>
                  <w:divBdr>
                    <w:top w:val="none" w:sz="0" w:space="0" w:color="auto"/>
                    <w:left w:val="none" w:sz="0" w:space="0" w:color="auto"/>
                    <w:bottom w:val="none" w:sz="0" w:space="0" w:color="auto"/>
                    <w:right w:val="single" w:sz="6" w:space="4" w:color="999999"/>
                  </w:divBdr>
                  <w:divsChild>
                    <w:div w:id="1059404323">
                      <w:marLeft w:val="0"/>
                      <w:marRight w:val="0"/>
                      <w:marTop w:val="0"/>
                      <w:marBottom w:val="0"/>
                      <w:divBdr>
                        <w:top w:val="none" w:sz="0" w:space="0" w:color="auto"/>
                        <w:left w:val="none" w:sz="0" w:space="0" w:color="auto"/>
                        <w:bottom w:val="none" w:sz="0" w:space="0" w:color="auto"/>
                        <w:right w:val="none" w:sz="0" w:space="0" w:color="auto"/>
                      </w:divBdr>
                      <w:divsChild>
                        <w:div w:id="618412765">
                          <w:marLeft w:val="0"/>
                          <w:marRight w:val="0"/>
                          <w:marTop w:val="0"/>
                          <w:marBottom w:val="0"/>
                          <w:divBdr>
                            <w:top w:val="none" w:sz="0" w:space="0" w:color="auto"/>
                            <w:left w:val="none" w:sz="0" w:space="0" w:color="auto"/>
                            <w:bottom w:val="none" w:sz="0" w:space="0" w:color="auto"/>
                            <w:right w:val="none" w:sz="0" w:space="0" w:color="auto"/>
                          </w:divBdr>
                          <w:divsChild>
                            <w:div w:id="75060481">
                              <w:marLeft w:val="0"/>
                              <w:marRight w:val="0"/>
                              <w:marTop w:val="158"/>
                              <w:marBottom w:val="0"/>
                              <w:divBdr>
                                <w:top w:val="none" w:sz="0" w:space="0" w:color="auto"/>
                                <w:left w:val="none" w:sz="0" w:space="0" w:color="auto"/>
                                <w:bottom w:val="none" w:sz="0" w:space="0" w:color="auto"/>
                                <w:right w:val="none" w:sz="0" w:space="0" w:color="auto"/>
                              </w:divBdr>
                              <w:divsChild>
                                <w:div w:id="870653474">
                                  <w:marLeft w:val="0"/>
                                  <w:marRight w:val="0"/>
                                  <w:marTop w:val="0"/>
                                  <w:marBottom w:val="0"/>
                                  <w:divBdr>
                                    <w:top w:val="none" w:sz="0" w:space="0" w:color="auto"/>
                                    <w:left w:val="none" w:sz="0" w:space="0" w:color="auto"/>
                                    <w:bottom w:val="none" w:sz="0" w:space="0" w:color="auto"/>
                                    <w:right w:val="none" w:sz="0" w:space="0" w:color="auto"/>
                                  </w:divBdr>
                                  <w:divsChild>
                                    <w:div w:id="1633708934">
                                      <w:marLeft w:val="0"/>
                                      <w:marRight w:val="0"/>
                                      <w:marTop w:val="0"/>
                                      <w:marBottom w:val="0"/>
                                      <w:divBdr>
                                        <w:top w:val="none" w:sz="0" w:space="0" w:color="auto"/>
                                        <w:left w:val="none" w:sz="0" w:space="0" w:color="auto"/>
                                        <w:bottom w:val="none" w:sz="0" w:space="0" w:color="auto"/>
                                        <w:right w:val="none" w:sz="0" w:space="0" w:color="auto"/>
                                      </w:divBdr>
                                    </w:div>
                                    <w:div w:id="308831394">
                                      <w:marLeft w:val="0"/>
                                      <w:marRight w:val="0"/>
                                      <w:marTop w:val="0"/>
                                      <w:marBottom w:val="0"/>
                                      <w:divBdr>
                                        <w:top w:val="none" w:sz="0" w:space="0" w:color="auto"/>
                                        <w:left w:val="none" w:sz="0" w:space="0" w:color="auto"/>
                                        <w:bottom w:val="none" w:sz="0" w:space="0" w:color="auto"/>
                                        <w:right w:val="none" w:sz="0" w:space="0" w:color="auto"/>
                                      </w:divBdr>
                                    </w:div>
                                    <w:div w:id="869269675">
                                      <w:marLeft w:val="0"/>
                                      <w:marRight w:val="0"/>
                                      <w:marTop w:val="0"/>
                                      <w:marBottom w:val="0"/>
                                      <w:divBdr>
                                        <w:top w:val="none" w:sz="0" w:space="0" w:color="auto"/>
                                        <w:left w:val="none" w:sz="0" w:space="0" w:color="auto"/>
                                        <w:bottom w:val="none" w:sz="0" w:space="0" w:color="auto"/>
                                        <w:right w:val="none" w:sz="0" w:space="0" w:color="auto"/>
                                      </w:divBdr>
                                    </w:div>
                                    <w:div w:id="89509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haramster.over-blog.com/200-index.html" TargetMode="External"/><Relationship Id="rId5" Type="http://schemas.openxmlformats.org/officeDocument/2006/relationships/hyperlink" Target="http://pharamster.over-blog.com/article-grippe-a-h1n1-la-problematique-de-la-gestion-du-risque-sanitaire-42567237.html" TargetMode="External"/><Relationship Id="rId4" Type="http://schemas.openxmlformats.org/officeDocument/2006/relationships/hyperlink" Target="http://pharamster.over-blog.com/article-31735456.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1208</Words>
  <Characters>6644</Characters>
  <Application>Microsoft Office Word</Application>
  <DocSecurity>0</DocSecurity>
  <Lines>55</Lines>
  <Paragraphs>15</Paragraphs>
  <ScaleCrop>false</ScaleCrop>
  <Company/>
  <LinksUpToDate>false</LinksUpToDate>
  <CharactersWithSpaces>7837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Benabbou</dc:creator>
  <cp:keywords/>
  <dc:description/>
  <cp:lastModifiedBy>Dr Benabbou</cp:lastModifiedBy>
  <cp:revision>1</cp:revision>
  <dcterms:created xsi:type="dcterms:W3CDTF">2013-04-25T12:51:00Z</dcterms:created>
  <dcterms:modified xsi:type="dcterms:W3CDTF">2013-04-25T12:52:00Z</dcterms:modified>
</cp:coreProperties>
</file>